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D04" w:rsidRPr="00D65D04" w:rsidRDefault="00D65D04" w:rsidP="00D65D04">
      <w:pPr>
        <w:pStyle w:val="3"/>
        <w:rPr>
          <w:rFonts w:ascii="Times New Roman" w:eastAsia="Times New Roman" w:hAnsi="Times New Roman" w:cs="Times New Roman"/>
          <w:b/>
          <w:color w:val="000000" w:themeColor="text1"/>
        </w:rPr>
      </w:pPr>
      <w:r w:rsidRPr="00D65D04">
        <w:rPr>
          <w:rFonts w:ascii="Times New Roman" w:eastAsia="Times New Roman" w:hAnsi="Times New Roman" w:cs="Times New Roman"/>
          <w:b/>
          <w:color w:val="000000" w:themeColor="text1"/>
        </w:rPr>
        <w:t>ПОЯСНЮВАЛЬНА ЗАПИСКА</w:t>
      </w:r>
      <w:r w:rsidRPr="00D65D04">
        <w:rPr>
          <w:rFonts w:ascii="Times New Roman" w:eastAsia="Times New Roman" w:hAnsi="Times New Roman" w:cs="Times New Roman"/>
          <w:b/>
          <w:color w:val="000000" w:themeColor="text1"/>
        </w:rPr>
        <w:br/>
        <w:t>до звіту (зведеного звіту) про результати діяльності підрозділу внутрішнього аудиту</w:t>
      </w:r>
    </w:p>
    <w:p w:rsidR="00D65D04" w:rsidRDefault="00D65D04" w:rsidP="00D65D04">
      <w:pPr>
        <w:pStyle w:val="a7"/>
        <w:jc w:val="center"/>
        <w:rPr>
          <w:rFonts w:eastAsiaTheme="minorEastAsia"/>
        </w:rPr>
      </w:pPr>
      <w:r w:rsidRPr="00C8280A">
        <w:rPr>
          <w:b/>
          <w:bCs/>
          <w:u w:val="single"/>
        </w:rPr>
        <w:t xml:space="preserve">в </w:t>
      </w:r>
      <w:r w:rsidR="00C8280A" w:rsidRPr="00C8280A">
        <w:rPr>
          <w:b/>
          <w:bCs/>
          <w:u w:val="single"/>
        </w:rPr>
        <w:t>Конституційному Суді України</w:t>
      </w:r>
      <w:r>
        <w:rPr>
          <w:b/>
          <w:bCs/>
        </w:rPr>
        <w:t xml:space="preserve"> </w:t>
      </w:r>
      <w:r>
        <w:br/>
      </w:r>
      <w:r>
        <w:rPr>
          <w:sz w:val="20"/>
          <w:szCs w:val="20"/>
        </w:rPr>
        <w:t>(найменування державного органу чи бюджетної установи)</w:t>
      </w:r>
      <w:r>
        <w:rPr>
          <w:sz w:val="20"/>
          <w:szCs w:val="20"/>
        </w:rPr>
        <w:br/>
      </w:r>
      <w:r>
        <w:rPr>
          <w:b/>
          <w:bCs/>
        </w:rPr>
        <w:t>за 20</w:t>
      </w:r>
      <w:r w:rsidR="00C8280A">
        <w:rPr>
          <w:b/>
          <w:bCs/>
        </w:rPr>
        <w:t>22</w:t>
      </w:r>
      <w:r>
        <w:rPr>
          <w:b/>
          <w:bCs/>
        </w:rPr>
        <w:t xml:space="preserve"> рік</w:t>
      </w:r>
    </w:p>
    <w:p w:rsidR="00D65D04" w:rsidRPr="00D65D04" w:rsidRDefault="00D65D04" w:rsidP="00D65D04">
      <w:pPr>
        <w:pStyle w:val="3"/>
        <w:rPr>
          <w:rFonts w:ascii="Times New Roman" w:eastAsia="Times New Roman" w:hAnsi="Times New Roman" w:cs="Times New Roman"/>
          <w:b/>
          <w:color w:val="000000" w:themeColor="text1"/>
        </w:rPr>
      </w:pPr>
      <w:r w:rsidRPr="00D65D04">
        <w:rPr>
          <w:rFonts w:ascii="Times New Roman" w:eastAsia="Times New Roman" w:hAnsi="Times New Roman" w:cs="Times New Roman"/>
          <w:b/>
          <w:color w:val="000000" w:themeColor="text1"/>
        </w:rPr>
        <w:t>I. Організація діяльності з внутрішнього аудиту</w:t>
      </w:r>
    </w:p>
    <w:p w:rsidR="00D65D04" w:rsidRDefault="00D65D04" w:rsidP="00D65D04">
      <w:pPr>
        <w:pStyle w:val="a7"/>
        <w:jc w:val="both"/>
        <w:rPr>
          <w:rFonts w:eastAsiaTheme="minorEastAsia"/>
        </w:rPr>
      </w:pPr>
      <w:r>
        <w:t>1.1. Інформація про визначені ключові показники діяльності підрозділу внутрішнього аудиту та їх виконання за такою формою:</w:t>
      </w:r>
    </w:p>
    <w:p w:rsidR="00D65D04" w:rsidRDefault="00D65D04" w:rsidP="00D65D04">
      <w:pPr>
        <w:pStyle w:val="a7"/>
        <w:jc w:val="right"/>
      </w:pPr>
      <w:r>
        <w:rPr>
          <w:i/>
          <w:iCs/>
        </w:rPr>
        <w:t>Таблиця 1.1</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10"/>
        <w:gridCol w:w="2395"/>
        <w:gridCol w:w="2395"/>
        <w:gridCol w:w="2322"/>
      </w:tblGrid>
      <w:tr w:rsidR="00D65D04" w:rsidTr="00D65D04">
        <w:trPr>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D65D04" w:rsidRPr="00284F88" w:rsidRDefault="00D65D04">
            <w:pPr>
              <w:pStyle w:val="a7"/>
              <w:jc w:val="center"/>
              <w:rPr>
                <w:sz w:val="20"/>
                <w:szCs w:val="20"/>
              </w:rPr>
            </w:pPr>
            <w:r w:rsidRPr="00284F88">
              <w:rPr>
                <w:sz w:val="20"/>
                <w:szCs w:val="20"/>
              </w:rPr>
              <w:t>Ключовий</w:t>
            </w:r>
            <w:r w:rsidRPr="00284F88">
              <w:rPr>
                <w:sz w:val="20"/>
                <w:szCs w:val="20"/>
              </w:rPr>
              <w:br/>
              <w:t>показник</w:t>
            </w:r>
          </w:p>
        </w:tc>
        <w:tc>
          <w:tcPr>
            <w:tcW w:w="1250" w:type="pct"/>
            <w:tcBorders>
              <w:top w:val="outset" w:sz="6" w:space="0" w:color="auto"/>
              <w:left w:val="outset" w:sz="6" w:space="0" w:color="auto"/>
              <w:bottom w:val="outset" w:sz="6" w:space="0" w:color="auto"/>
              <w:right w:val="outset" w:sz="6" w:space="0" w:color="auto"/>
            </w:tcBorders>
            <w:hideMark/>
          </w:tcPr>
          <w:p w:rsidR="00D65D04" w:rsidRPr="00284F88" w:rsidRDefault="00D65D04">
            <w:pPr>
              <w:pStyle w:val="a7"/>
              <w:jc w:val="center"/>
              <w:rPr>
                <w:sz w:val="20"/>
                <w:szCs w:val="20"/>
              </w:rPr>
            </w:pPr>
            <w:r w:rsidRPr="00284F88">
              <w:rPr>
                <w:sz w:val="20"/>
                <w:szCs w:val="20"/>
              </w:rPr>
              <w:t>Заплановано</w:t>
            </w:r>
            <w:r w:rsidRPr="00284F88">
              <w:rPr>
                <w:sz w:val="20"/>
                <w:szCs w:val="20"/>
              </w:rPr>
              <w:br/>
              <w:t>(визначено)</w:t>
            </w:r>
          </w:p>
        </w:tc>
        <w:tc>
          <w:tcPr>
            <w:tcW w:w="1250" w:type="pct"/>
            <w:tcBorders>
              <w:top w:val="outset" w:sz="6" w:space="0" w:color="auto"/>
              <w:left w:val="outset" w:sz="6" w:space="0" w:color="auto"/>
              <w:bottom w:val="outset" w:sz="6" w:space="0" w:color="auto"/>
              <w:right w:val="outset" w:sz="6" w:space="0" w:color="auto"/>
            </w:tcBorders>
            <w:hideMark/>
          </w:tcPr>
          <w:p w:rsidR="00D65D04" w:rsidRPr="00284F88" w:rsidRDefault="00D65D04">
            <w:pPr>
              <w:pStyle w:val="a7"/>
              <w:jc w:val="center"/>
              <w:rPr>
                <w:sz w:val="20"/>
                <w:szCs w:val="20"/>
              </w:rPr>
            </w:pPr>
            <w:r w:rsidRPr="00284F88">
              <w:rPr>
                <w:sz w:val="20"/>
                <w:szCs w:val="20"/>
              </w:rPr>
              <w:t>Фактично</w:t>
            </w:r>
            <w:r w:rsidRPr="00284F88">
              <w:rPr>
                <w:sz w:val="20"/>
                <w:szCs w:val="20"/>
              </w:rPr>
              <w:br/>
              <w:t>виконано</w:t>
            </w:r>
          </w:p>
        </w:tc>
        <w:tc>
          <w:tcPr>
            <w:tcW w:w="1200" w:type="pct"/>
            <w:tcBorders>
              <w:top w:val="outset" w:sz="6" w:space="0" w:color="auto"/>
              <w:left w:val="outset" w:sz="6" w:space="0" w:color="auto"/>
              <w:bottom w:val="outset" w:sz="6" w:space="0" w:color="auto"/>
              <w:right w:val="outset" w:sz="6" w:space="0" w:color="auto"/>
            </w:tcBorders>
            <w:hideMark/>
          </w:tcPr>
          <w:p w:rsidR="00D65D04" w:rsidRPr="00284F88" w:rsidRDefault="00D65D04">
            <w:pPr>
              <w:pStyle w:val="a7"/>
              <w:jc w:val="center"/>
              <w:rPr>
                <w:sz w:val="20"/>
                <w:szCs w:val="20"/>
              </w:rPr>
            </w:pPr>
            <w:r w:rsidRPr="00284F88">
              <w:rPr>
                <w:sz w:val="20"/>
                <w:szCs w:val="20"/>
              </w:rPr>
              <w:t>Причини</w:t>
            </w:r>
            <w:r w:rsidRPr="00284F88">
              <w:rPr>
                <w:sz w:val="20"/>
                <w:szCs w:val="20"/>
              </w:rPr>
              <w:br/>
              <w:t>невиконання</w:t>
            </w:r>
          </w:p>
        </w:tc>
      </w:tr>
      <w:tr w:rsidR="00D65D04" w:rsidTr="00D65D04">
        <w:trPr>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D65D04" w:rsidRPr="00284F88" w:rsidRDefault="00D65D04">
            <w:pPr>
              <w:pStyle w:val="a7"/>
              <w:jc w:val="center"/>
              <w:rPr>
                <w:sz w:val="20"/>
                <w:szCs w:val="20"/>
              </w:rPr>
            </w:pPr>
            <w:r w:rsidRPr="00284F88">
              <w:rPr>
                <w:sz w:val="20"/>
                <w:szCs w:val="20"/>
              </w:rPr>
              <w:t>1</w:t>
            </w:r>
          </w:p>
        </w:tc>
        <w:tc>
          <w:tcPr>
            <w:tcW w:w="1250" w:type="pct"/>
            <w:tcBorders>
              <w:top w:val="outset" w:sz="6" w:space="0" w:color="auto"/>
              <w:left w:val="outset" w:sz="6" w:space="0" w:color="auto"/>
              <w:bottom w:val="outset" w:sz="6" w:space="0" w:color="auto"/>
              <w:right w:val="outset" w:sz="6" w:space="0" w:color="auto"/>
            </w:tcBorders>
            <w:hideMark/>
          </w:tcPr>
          <w:p w:rsidR="00D65D04" w:rsidRPr="00284F88" w:rsidRDefault="00D65D04">
            <w:pPr>
              <w:pStyle w:val="a7"/>
              <w:jc w:val="center"/>
              <w:rPr>
                <w:sz w:val="20"/>
                <w:szCs w:val="20"/>
              </w:rPr>
            </w:pPr>
            <w:r w:rsidRPr="00284F88">
              <w:rPr>
                <w:sz w:val="20"/>
                <w:szCs w:val="20"/>
              </w:rPr>
              <w:t>2</w:t>
            </w:r>
          </w:p>
        </w:tc>
        <w:tc>
          <w:tcPr>
            <w:tcW w:w="1250" w:type="pct"/>
            <w:tcBorders>
              <w:top w:val="outset" w:sz="6" w:space="0" w:color="auto"/>
              <w:left w:val="outset" w:sz="6" w:space="0" w:color="auto"/>
              <w:bottom w:val="outset" w:sz="6" w:space="0" w:color="auto"/>
              <w:right w:val="outset" w:sz="6" w:space="0" w:color="auto"/>
            </w:tcBorders>
            <w:hideMark/>
          </w:tcPr>
          <w:p w:rsidR="00D65D04" w:rsidRPr="00284F88" w:rsidRDefault="00D65D04">
            <w:pPr>
              <w:pStyle w:val="a7"/>
              <w:jc w:val="center"/>
              <w:rPr>
                <w:sz w:val="20"/>
                <w:szCs w:val="20"/>
              </w:rPr>
            </w:pPr>
            <w:r w:rsidRPr="00284F88">
              <w:rPr>
                <w:sz w:val="20"/>
                <w:szCs w:val="20"/>
              </w:rPr>
              <w:t>3</w:t>
            </w:r>
          </w:p>
        </w:tc>
        <w:tc>
          <w:tcPr>
            <w:tcW w:w="1200" w:type="pct"/>
            <w:tcBorders>
              <w:top w:val="outset" w:sz="6" w:space="0" w:color="auto"/>
              <w:left w:val="outset" w:sz="6" w:space="0" w:color="auto"/>
              <w:bottom w:val="outset" w:sz="6" w:space="0" w:color="auto"/>
              <w:right w:val="outset" w:sz="6" w:space="0" w:color="auto"/>
            </w:tcBorders>
            <w:hideMark/>
          </w:tcPr>
          <w:p w:rsidR="00D65D04" w:rsidRPr="00284F88" w:rsidRDefault="00D65D04">
            <w:pPr>
              <w:pStyle w:val="a7"/>
              <w:jc w:val="center"/>
              <w:rPr>
                <w:sz w:val="20"/>
                <w:szCs w:val="20"/>
              </w:rPr>
            </w:pPr>
            <w:r w:rsidRPr="00284F88">
              <w:rPr>
                <w:sz w:val="20"/>
                <w:szCs w:val="20"/>
              </w:rPr>
              <w:t>4</w:t>
            </w:r>
          </w:p>
        </w:tc>
      </w:tr>
      <w:tr w:rsidR="00D65D04" w:rsidTr="00D65D04">
        <w:trPr>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D65D04" w:rsidRPr="00284F88" w:rsidRDefault="0022605E">
            <w:pPr>
              <w:pStyle w:val="a7"/>
              <w:jc w:val="center"/>
              <w:rPr>
                <w:sz w:val="20"/>
                <w:szCs w:val="20"/>
              </w:rPr>
            </w:pPr>
            <w:r w:rsidRPr="00284F88">
              <w:rPr>
                <w:color w:val="000000"/>
                <w:sz w:val="20"/>
                <w:szCs w:val="20"/>
                <w:lang w:val="ru-RU" w:eastAsia="zh-CN"/>
              </w:rPr>
              <w:t>О</w:t>
            </w:r>
            <w:proofErr w:type="spellStart"/>
            <w:r w:rsidRPr="00284F88">
              <w:rPr>
                <w:color w:val="000000"/>
                <w:sz w:val="20"/>
                <w:szCs w:val="20"/>
                <w:lang w:eastAsia="zh-CN"/>
              </w:rPr>
              <w:t>рієнтація</w:t>
            </w:r>
            <w:proofErr w:type="spellEnd"/>
            <w:r w:rsidRPr="00284F88">
              <w:rPr>
                <w:color w:val="000000"/>
                <w:sz w:val="20"/>
                <w:szCs w:val="20"/>
                <w:lang w:eastAsia="zh-CN"/>
              </w:rPr>
              <w:t xml:space="preserve"> внутрішнього аудиту на здійснення оцінки ефективності, результативності та якості виконання завдань, функцій, бюджетних програм тощо</w:t>
            </w:r>
            <w:r w:rsidR="00D65D04" w:rsidRPr="00284F88">
              <w:rPr>
                <w:sz w:val="20"/>
                <w:szCs w:val="20"/>
              </w:rPr>
              <w:t> </w:t>
            </w:r>
          </w:p>
        </w:tc>
        <w:tc>
          <w:tcPr>
            <w:tcW w:w="1250" w:type="pct"/>
            <w:tcBorders>
              <w:top w:val="outset" w:sz="6" w:space="0" w:color="auto"/>
              <w:left w:val="outset" w:sz="6" w:space="0" w:color="auto"/>
              <w:bottom w:val="outset" w:sz="6" w:space="0" w:color="auto"/>
              <w:right w:val="outset" w:sz="6" w:space="0" w:color="auto"/>
            </w:tcBorders>
            <w:hideMark/>
          </w:tcPr>
          <w:p w:rsidR="00D65D04" w:rsidRPr="00284F88" w:rsidRDefault="0022605E">
            <w:pPr>
              <w:pStyle w:val="a7"/>
              <w:jc w:val="center"/>
              <w:rPr>
                <w:sz w:val="20"/>
                <w:szCs w:val="20"/>
              </w:rPr>
            </w:pPr>
            <w:r w:rsidRPr="00284F88">
              <w:rPr>
                <w:color w:val="000000"/>
                <w:sz w:val="20"/>
                <w:szCs w:val="20"/>
                <w:lang w:eastAsia="zh-CN"/>
              </w:rPr>
              <w:t>не менше 75% від загальної кількості проведених внутрішніх аудитів</w:t>
            </w:r>
            <w:r w:rsidR="00D65D04" w:rsidRPr="00284F88">
              <w:rPr>
                <w:sz w:val="20"/>
                <w:szCs w:val="20"/>
              </w:rPr>
              <w:t> </w:t>
            </w:r>
          </w:p>
        </w:tc>
        <w:tc>
          <w:tcPr>
            <w:tcW w:w="1250" w:type="pct"/>
            <w:tcBorders>
              <w:top w:val="outset" w:sz="6" w:space="0" w:color="auto"/>
              <w:left w:val="outset" w:sz="6" w:space="0" w:color="auto"/>
              <w:bottom w:val="outset" w:sz="6" w:space="0" w:color="auto"/>
              <w:right w:val="outset" w:sz="6" w:space="0" w:color="auto"/>
            </w:tcBorders>
            <w:hideMark/>
          </w:tcPr>
          <w:p w:rsidR="00D65D04" w:rsidRPr="00284F88" w:rsidRDefault="0022605E">
            <w:pPr>
              <w:pStyle w:val="a7"/>
              <w:jc w:val="center"/>
              <w:rPr>
                <w:sz w:val="20"/>
                <w:szCs w:val="20"/>
              </w:rPr>
            </w:pPr>
            <w:r w:rsidRPr="00284F88">
              <w:rPr>
                <w:sz w:val="20"/>
                <w:szCs w:val="20"/>
                <w:lang w:val="ru-RU"/>
              </w:rPr>
              <w:t>100%</w:t>
            </w:r>
            <w:r w:rsidR="00D65D04" w:rsidRPr="00284F88">
              <w:rPr>
                <w:sz w:val="20"/>
                <w:szCs w:val="20"/>
              </w:rPr>
              <w:t> </w:t>
            </w:r>
          </w:p>
        </w:tc>
        <w:tc>
          <w:tcPr>
            <w:tcW w:w="1200" w:type="pct"/>
            <w:tcBorders>
              <w:top w:val="outset" w:sz="6" w:space="0" w:color="auto"/>
              <w:left w:val="outset" w:sz="6" w:space="0" w:color="auto"/>
              <w:bottom w:val="outset" w:sz="6" w:space="0" w:color="auto"/>
              <w:right w:val="outset" w:sz="6" w:space="0" w:color="auto"/>
            </w:tcBorders>
            <w:hideMark/>
          </w:tcPr>
          <w:p w:rsidR="00D65D04" w:rsidRPr="00284F88" w:rsidRDefault="00D65D04">
            <w:pPr>
              <w:pStyle w:val="a7"/>
              <w:jc w:val="center"/>
              <w:rPr>
                <w:sz w:val="20"/>
                <w:szCs w:val="20"/>
              </w:rPr>
            </w:pPr>
            <w:r w:rsidRPr="00284F88">
              <w:rPr>
                <w:sz w:val="20"/>
                <w:szCs w:val="20"/>
              </w:rPr>
              <w:t> </w:t>
            </w:r>
          </w:p>
        </w:tc>
      </w:tr>
      <w:tr w:rsidR="00D65D04" w:rsidTr="00D65D04">
        <w:trPr>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D65D04" w:rsidRPr="00284F88" w:rsidRDefault="00D65D04" w:rsidP="0022605E">
            <w:pPr>
              <w:pStyle w:val="a7"/>
              <w:jc w:val="center"/>
              <w:rPr>
                <w:sz w:val="20"/>
                <w:szCs w:val="20"/>
              </w:rPr>
            </w:pPr>
            <w:r w:rsidRPr="00284F88">
              <w:rPr>
                <w:sz w:val="20"/>
                <w:szCs w:val="20"/>
              </w:rPr>
              <w:t> </w:t>
            </w:r>
            <w:r w:rsidR="0022605E" w:rsidRPr="00284F88">
              <w:rPr>
                <w:sz w:val="20"/>
                <w:szCs w:val="20"/>
                <w:lang w:val="ru-RU"/>
              </w:rPr>
              <w:t>Н</w:t>
            </w:r>
            <w:proofErr w:type="spellStart"/>
            <w:r w:rsidR="0022605E" w:rsidRPr="00284F88">
              <w:rPr>
                <w:color w:val="000000"/>
                <w:sz w:val="20"/>
                <w:szCs w:val="20"/>
                <w:lang w:eastAsia="zh-CN"/>
              </w:rPr>
              <w:t>адання</w:t>
            </w:r>
            <w:proofErr w:type="spellEnd"/>
            <w:r w:rsidR="0022605E" w:rsidRPr="00284F88">
              <w:rPr>
                <w:color w:val="000000"/>
                <w:sz w:val="20"/>
                <w:szCs w:val="20"/>
                <w:lang w:eastAsia="zh-CN"/>
              </w:rPr>
              <w:t xml:space="preserve"> аудиторських рекомендацій,</w:t>
            </w:r>
            <w:r w:rsidR="0022605E" w:rsidRPr="00284F88">
              <w:rPr>
                <w:color w:val="000000"/>
                <w:sz w:val="20"/>
                <w:szCs w:val="20"/>
                <w:lang w:val="ru-RU" w:eastAsia="zh-CN"/>
              </w:rPr>
              <w:t xml:space="preserve"> </w:t>
            </w:r>
            <w:r w:rsidR="0022605E" w:rsidRPr="00284F88">
              <w:rPr>
                <w:color w:val="000000"/>
                <w:sz w:val="20"/>
                <w:szCs w:val="20"/>
                <w:lang w:eastAsia="zh-CN"/>
              </w:rPr>
              <w:t>спрямованих на покращення діяльності Суду, його внутрішнього контролю та досягнення визначених цілей</w:t>
            </w:r>
          </w:p>
        </w:tc>
        <w:tc>
          <w:tcPr>
            <w:tcW w:w="1250" w:type="pct"/>
            <w:tcBorders>
              <w:top w:val="outset" w:sz="6" w:space="0" w:color="auto"/>
              <w:left w:val="outset" w:sz="6" w:space="0" w:color="auto"/>
              <w:bottom w:val="outset" w:sz="6" w:space="0" w:color="auto"/>
              <w:right w:val="outset" w:sz="6" w:space="0" w:color="auto"/>
            </w:tcBorders>
            <w:hideMark/>
          </w:tcPr>
          <w:p w:rsidR="00D65D04" w:rsidRPr="00284F88" w:rsidRDefault="00D65D04">
            <w:pPr>
              <w:pStyle w:val="a7"/>
              <w:jc w:val="center"/>
              <w:rPr>
                <w:sz w:val="20"/>
                <w:szCs w:val="20"/>
              </w:rPr>
            </w:pPr>
            <w:r w:rsidRPr="00284F88">
              <w:rPr>
                <w:sz w:val="20"/>
                <w:szCs w:val="20"/>
              </w:rPr>
              <w:t> </w:t>
            </w:r>
            <w:r w:rsidR="0022605E" w:rsidRPr="00284F88">
              <w:rPr>
                <w:color w:val="000000"/>
                <w:sz w:val="20"/>
                <w:szCs w:val="20"/>
                <w:lang w:eastAsia="zh-CN"/>
              </w:rPr>
              <w:t>не менше 80% аудиторських рекомендацій прийняті Головою Конституційного Суду України</w:t>
            </w:r>
          </w:p>
        </w:tc>
        <w:tc>
          <w:tcPr>
            <w:tcW w:w="1250" w:type="pct"/>
            <w:tcBorders>
              <w:top w:val="outset" w:sz="6" w:space="0" w:color="auto"/>
              <w:left w:val="outset" w:sz="6" w:space="0" w:color="auto"/>
              <w:bottom w:val="outset" w:sz="6" w:space="0" w:color="auto"/>
              <w:right w:val="outset" w:sz="6" w:space="0" w:color="auto"/>
            </w:tcBorders>
            <w:hideMark/>
          </w:tcPr>
          <w:p w:rsidR="00D65D04" w:rsidRPr="00284F88" w:rsidRDefault="00D65D04">
            <w:pPr>
              <w:pStyle w:val="a7"/>
              <w:jc w:val="center"/>
              <w:rPr>
                <w:sz w:val="20"/>
                <w:szCs w:val="20"/>
                <w:lang w:val="ru-RU"/>
              </w:rPr>
            </w:pPr>
            <w:r w:rsidRPr="00284F88">
              <w:rPr>
                <w:sz w:val="20"/>
                <w:szCs w:val="20"/>
              </w:rPr>
              <w:t> </w:t>
            </w:r>
            <w:r w:rsidR="0022605E" w:rsidRPr="00284F88">
              <w:rPr>
                <w:sz w:val="20"/>
                <w:szCs w:val="20"/>
                <w:lang w:val="ru-RU"/>
              </w:rPr>
              <w:t>100%</w:t>
            </w:r>
          </w:p>
        </w:tc>
        <w:tc>
          <w:tcPr>
            <w:tcW w:w="1200" w:type="pct"/>
            <w:tcBorders>
              <w:top w:val="outset" w:sz="6" w:space="0" w:color="auto"/>
              <w:left w:val="outset" w:sz="6" w:space="0" w:color="auto"/>
              <w:bottom w:val="outset" w:sz="6" w:space="0" w:color="auto"/>
              <w:right w:val="outset" w:sz="6" w:space="0" w:color="auto"/>
            </w:tcBorders>
            <w:hideMark/>
          </w:tcPr>
          <w:p w:rsidR="00D65D04" w:rsidRPr="00284F88" w:rsidRDefault="00D65D04">
            <w:pPr>
              <w:pStyle w:val="a7"/>
              <w:jc w:val="center"/>
              <w:rPr>
                <w:sz w:val="20"/>
                <w:szCs w:val="20"/>
              </w:rPr>
            </w:pPr>
            <w:r w:rsidRPr="00284F88">
              <w:rPr>
                <w:sz w:val="20"/>
                <w:szCs w:val="20"/>
              </w:rPr>
              <w:t> </w:t>
            </w:r>
          </w:p>
        </w:tc>
      </w:tr>
      <w:tr w:rsidR="00D65D04" w:rsidTr="00D65D04">
        <w:trPr>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D65D04" w:rsidRPr="00284F88" w:rsidRDefault="0022605E" w:rsidP="0022605E">
            <w:pPr>
              <w:pStyle w:val="a7"/>
              <w:tabs>
                <w:tab w:val="center" w:pos="1177"/>
                <w:tab w:val="right" w:pos="2354"/>
              </w:tabs>
              <w:jc w:val="center"/>
              <w:rPr>
                <w:sz w:val="20"/>
                <w:szCs w:val="20"/>
              </w:rPr>
            </w:pPr>
            <w:r w:rsidRPr="00284F88">
              <w:rPr>
                <w:color w:val="000000"/>
                <w:sz w:val="20"/>
                <w:szCs w:val="20"/>
                <w:lang w:eastAsia="zh-CN"/>
              </w:rPr>
              <w:t>Постійний професійний розвиток (навчання та підвищення кваліфікації) працівників підрозділу внутрішнього аудиту шляхом самоосвіти та участі у навчальних заходах з питань внутрішнього аудиту, внутрішнього контролю та управління ризиками</w:t>
            </w:r>
          </w:p>
        </w:tc>
        <w:tc>
          <w:tcPr>
            <w:tcW w:w="1250" w:type="pct"/>
            <w:tcBorders>
              <w:top w:val="outset" w:sz="6" w:space="0" w:color="auto"/>
              <w:left w:val="outset" w:sz="6" w:space="0" w:color="auto"/>
              <w:bottom w:val="outset" w:sz="6" w:space="0" w:color="auto"/>
              <w:right w:val="outset" w:sz="6" w:space="0" w:color="auto"/>
            </w:tcBorders>
            <w:hideMark/>
          </w:tcPr>
          <w:p w:rsidR="00D65D04" w:rsidRPr="00284F88" w:rsidRDefault="0022605E">
            <w:pPr>
              <w:pStyle w:val="a7"/>
              <w:jc w:val="center"/>
              <w:rPr>
                <w:sz w:val="20"/>
                <w:szCs w:val="20"/>
              </w:rPr>
            </w:pPr>
            <w:r w:rsidRPr="00284F88">
              <w:rPr>
                <w:color w:val="000000"/>
                <w:sz w:val="20"/>
                <w:szCs w:val="20"/>
                <w:lang w:eastAsia="zh-CN"/>
              </w:rPr>
              <w:t>прийнято участь не менше ніж у 3-х заходах з підвищення кваліфікації</w:t>
            </w:r>
            <w:r w:rsidR="00D65D04" w:rsidRPr="00284F88">
              <w:rPr>
                <w:sz w:val="20"/>
                <w:szCs w:val="20"/>
              </w:rPr>
              <w:t> </w:t>
            </w:r>
          </w:p>
        </w:tc>
        <w:tc>
          <w:tcPr>
            <w:tcW w:w="1250" w:type="pct"/>
            <w:tcBorders>
              <w:top w:val="outset" w:sz="6" w:space="0" w:color="auto"/>
              <w:left w:val="outset" w:sz="6" w:space="0" w:color="auto"/>
              <w:bottom w:val="outset" w:sz="6" w:space="0" w:color="auto"/>
              <w:right w:val="outset" w:sz="6" w:space="0" w:color="auto"/>
            </w:tcBorders>
            <w:hideMark/>
          </w:tcPr>
          <w:p w:rsidR="00D65D04" w:rsidRPr="00284F88" w:rsidRDefault="0022605E">
            <w:pPr>
              <w:pStyle w:val="a7"/>
              <w:jc w:val="center"/>
              <w:rPr>
                <w:sz w:val="20"/>
                <w:szCs w:val="20"/>
              </w:rPr>
            </w:pPr>
            <w:r w:rsidRPr="00284F88">
              <w:rPr>
                <w:sz w:val="20"/>
                <w:szCs w:val="20"/>
                <w:lang w:val="ru-RU"/>
              </w:rPr>
              <w:t>33%</w:t>
            </w:r>
            <w:r w:rsidR="00D65D04" w:rsidRPr="00284F88">
              <w:rPr>
                <w:sz w:val="20"/>
                <w:szCs w:val="20"/>
              </w:rPr>
              <w:t> </w:t>
            </w:r>
          </w:p>
        </w:tc>
        <w:tc>
          <w:tcPr>
            <w:tcW w:w="1200" w:type="pct"/>
            <w:tcBorders>
              <w:top w:val="outset" w:sz="6" w:space="0" w:color="auto"/>
              <w:left w:val="outset" w:sz="6" w:space="0" w:color="auto"/>
              <w:bottom w:val="outset" w:sz="6" w:space="0" w:color="auto"/>
              <w:right w:val="outset" w:sz="6" w:space="0" w:color="auto"/>
            </w:tcBorders>
            <w:hideMark/>
          </w:tcPr>
          <w:p w:rsidR="00D65D04" w:rsidRPr="00284F88" w:rsidRDefault="00D65D04">
            <w:pPr>
              <w:pStyle w:val="a7"/>
              <w:jc w:val="center"/>
              <w:rPr>
                <w:sz w:val="20"/>
                <w:szCs w:val="20"/>
              </w:rPr>
            </w:pPr>
            <w:r w:rsidRPr="00284F88">
              <w:rPr>
                <w:sz w:val="20"/>
                <w:szCs w:val="20"/>
              </w:rPr>
              <w:t> </w:t>
            </w:r>
            <w:r w:rsidR="0022605E" w:rsidRPr="00284F88">
              <w:rPr>
                <w:sz w:val="20"/>
                <w:szCs w:val="20"/>
                <w:lang w:val="ru-RU"/>
              </w:rPr>
              <w:t xml:space="preserve">У </w:t>
            </w:r>
            <w:proofErr w:type="spellStart"/>
            <w:r w:rsidR="0022605E" w:rsidRPr="00284F88">
              <w:rPr>
                <w:sz w:val="20"/>
                <w:szCs w:val="20"/>
                <w:lang w:val="ru-RU"/>
              </w:rPr>
              <w:t>зв</w:t>
            </w:r>
            <w:proofErr w:type="spellEnd"/>
            <w:r w:rsidR="0022605E" w:rsidRPr="00284F88">
              <w:rPr>
                <w:sz w:val="20"/>
                <w:szCs w:val="20"/>
              </w:rPr>
              <w:t>’</w:t>
            </w:r>
            <w:proofErr w:type="spellStart"/>
            <w:r w:rsidR="0022605E" w:rsidRPr="00284F88">
              <w:rPr>
                <w:sz w:val="20"/>
                <w:szCs w:val="20"/>
              </w:rPr>
              <w:t>язку</w:t>
            </w:r>
            <w:proofErr w:type="spellEnd"/>
            <w:r w:rsidR="0022605E" w:rsidRPr="00284F88">
              <w:rPr>
                <w:sz w:val="20"/>
                <w:szCs w:val="20"/>
              </w:rPr>
              <w:t xml:space="preserve"> з уведення воєнного стану на території України та збройною агресією з боку Російської федерації такі заходи або не проводились взагалі певний період року, або не </w:t>
            </w:r>
            <w:proofErr w:type="spellStart"/>
            <w:r w:rsidR="0022605E" w:rsidRPr="00284F88">
              <w:rPr>
                <w:sz w:val="20"/>
                <w:szCs w:val="20"/>
              </w:rPr>
              <w:t>задовільняли</w:t>
            </w:r>
            <w:proofErr w:type="spellEnd"/>
            <w:r w:rsidR="0022605E" w:rsidRPr="00284F88">
              <w:rPr>
                <w:sz w:val="20"/>
                <w:szCs w:val="20"/>
              </w:rPr>
              <w:t xml:space="preserve"> попит серед </w:t>
            </w:r>
            <w:proofErr w:type="spellStart"/>
            <w:r w:rsidR="0022605E" w:rsidRPr="00284F88">
              <w:rPr>
                <w:sz w:val="20"/>
                <w:szCs w:val="20"/>
              </w:rPr>
              <w:t>державниз</w:t>
            </w:r>
            <w:proofErr w:type="spellEnd"/>
            <w:r w:rsidR="0022605E" w:rsidRPr="00284F88">
              <w:rPr>
                <w:sz w:val="20"/>
                <w:szCs w:val="20"/>
              </w:rPr>
              <w:t xml:space="preserve"> службовців</w:t>
            </w:r>
          </w:p>
        </w:tc>
      </w:tr>
    </w:tbl>
    <w:p w:rsidR="00D65D04" w:rsidRDefault="00D65D04" w:rsidP="00D65D04">
      <w:pPr>
        <w:pStyle w:val="a7"/>
        <w:jc w:val="both"/>
      </w:pPr>
      <w:r>
        <w:t>1.2. Перелік непритаманних функцій:</w:t>
      </w:r>
    </w:p>
    <w:p w:rsidR="00D65D04" w:rsidRDefault="00D65D04" w:rsidP="00D65D04">
      <w:pPr>
        <w:pStyle w:val="a7"/>
        <w:jc w:val="both"/>
      </w:pPr>
      <w:r>
        <w:t>визначених внутрішніми документами з питань внутрішнього аудиту</w:t>
      </w:r>
      <w:r w:rsidR="00ED798B">
        <w:t xml:space="preserve"> – відсутні</w:t>
      </w:r>
      <w:r>
        <w:t>;</w:t>
      </w:r>
    </w:p>
    <w:p w:rsidR="00D65D04" w:rsidRDefault="00D65D04" w:rsidP="00D65D04">
      <w:pPr>
        <w:pStyle w:val="a7"/>
        <w:jc w:val="both"/>
      </w:pPr>
      <w:r>
        <w:t>які фактично виконувались підрозділами внутрішнього аудиту протягом звітного періоду</w:t>
      </w:r>
      <w:r w:rsidR="00ED798B">
        <w:t xml:space="preserve"> – функціональний аудит</w:t>
      </w:r>
      <w:r>
        <w:t>;</w:t>
      </w:r>
    </w:p>
    <w:p w:rsidR="00D65D04" w:rsidRDefault="00D65D04" w:rsidP="00D65D04">
      <w:pPr>
        <w:pStyle w:val="a7"/>
        <w:jc w:val="both"/>
      </w:pPr>
      <w:r>
        <w:t>види контрольних заходів, у яких брали участь працівники підрозділів внутрішнього аудиту протягом звітного періоду</w:t>
      </w:r>
      <w:r w:rsidR="00ED798B">
        <w:t xml:space="preserve"> – функціональний аудит Секретаріату Конституційного Суду України</w:t>
      </w:r>
      <w:r>
        <w:t>.</w:t>
      </w:r>
    </w:p>
    <w:p w:rsidR="00D65D04" w:rsidRDefault="00D65D04" w:rsidP="00D65D04">
      <w:pPr>
        <w:pStyle w:val="a7"/>
        <w:jc w:val="both"/>
      </w:pPr>
      <w:r>
        <w:lastRenderedPageBreak/>
        <w:t>1.3. Інформація про кількісний та персональний склад аудиторського комітету (у разі його створення) із зазначенням кваліфікації його членів</w:t>
      </w:r>
      <w:r w:rsidR="00BA0373">
        <w:t xml:space="preserve"> – Аудиторський комітет у Суді не створений</w:t>
      </w:r>
      <w:r>
        <w:t>.</w:t>
      </w:r>
    </w:p>
    <w:p w:rsidR="00BA0373" w:rsidRDefault="00D65D04" w:rsidP="00D65D04">
      <w:pPr>
        <w:pStyle w:val="a7"/>
        <w:jc w:val="both"/>
      </w:pPr>
      <w:r>
        <w:t>1.4. Основні питання, які розглядалися на засіданнях аудиторського комітету протягом звітного періоду, прийняті рішення, стан та результати їх впровадження.</w:t>
      </w:r>
      <w:r w:rsidR="00BA0373">
        <w:t xml:space="preserve"> </w:t>
      </w:r>
    </w:p>
    <w:p w:rsidR="00D65D04" w:rsidRDefault="00BA0373" w:rsidP="00D65D04">
      <w:pPr>
        <w:pStyle w:val="a7"/>
        <w:jc w:val="both"/>
      </w:pPr>
      <w:r>
        <w:t>Аудиторський комітет у Суді не створений.</w:t>
      </w:r>
    </w:p>
    <w:p w:rsidR="00D65D04" w:rsidRDefault="00D65D04" w:rsidP="00D65D04">
      <w:pPr>
        <w:pStyle w:val="a7"/>
        <w:jc w:val="both"/>
      </w:pPr>
      <w:r>
        <w:t>1.5. Інформація про виконання підрозділами внутрішнього аудиту плану (зведеного плану) протягом звітного періоду із зазначенням відсотка його виконання, у тому числі окремо в частині проведення внутрішніх аудитів.</w:t>
      </w:r>
    </w:p>
    <w:p w:rsidR="00D54AFE" w:rsidRDefault="00D54AFE" w:rsidP="00D65D04">
      <w:pPr>
        <w:pStyle w:val="a7"/>
        <w:jc w:val="both"/>
      </w:pPr>
      <w:r>
        <w:t xml:space="preserve">В 2022 році операційний план діяльності з внутрішнього аудиту Суду виконаний на </w:t>
      </w:r>
      <w:r w:rsidR="00A57890">
        <w:t>90</w:t>
      </w:r>
      <w:r>
        <w:t xml:space="preserve">% </w:t>
      </w:r>
      <w:r w:rsidR="00A57890">
        <w:t xml:space="preserve">, в тому числі на 60%, що стосується проведення внутрішніх аудитів </w:t>
      </w:r>
      <w:r>
        <w:t>(проведено три з п’яти запланованих внутрішніх аудитів)</w:t>
      </w:r>
    </w:p>
    <w:p w:rsidR="00D65D04" w:rsidRDefault="00D65D04" w:rsidP="00D65D04">
      <w:pPr>
        <w:pStyle w:val="a7"/>
        <w:jc w:val="both"/>
      </w:pPr>
      <w:r>
        <w:t>1.6. Причини невиконання плану (зведеного плану) або його часткового виконання протягом звітного періоду (за наявності невиконаних або частково виконаних запланованих у плані (зведеному плані) внутрішніх аудитів та заходів з іншої діяльності з внутрішнього аудиту), у тому числі окремо в частині проведення внутрішніх аудитів та в частині виконання заходів з іншої діяльності з внутрішнього аудиту.</w:t>
      </w:r>
    </w:p>
    <w:p w:rsidR="00D54AFE" w:rsidRDefault="00D54AFE" w:rsidP="00D54AFE">
      <w:pPr>
        <w:pStyle w:val="a7"/>
        <w:jc w:val="both"/>
      </w:pPr>
      <w:r>
        <w:t>Указ Президента України №64/2022 від 24.02.2022 року «Про введення воєнного стану в Україні» і як наслідок обмеження, які виникли в наслідок збройної агресії з боку Російської Федерації проти України</w:t>
      </w:r>
      <w:r w:rsidR="007E4ACC">
        <w:t xml:space="preserve"> – обмеження доступу до документів; обмеження доступу до </w:t>
      </w:r>
      <w:proofErr w:type="spellStart"/>
      <w:r w:rsidR="007E4ACC">
        <w:t>адмінбудівлі</w:t>
      </w:r>
      <w:proofErr w:type="spellEnd"/>
      <w:r w:rsidR="007E4ACC">
        <w:t xml:space="preserve"> Суду, скорочення фінансування та перерозподіл коштів в наслідок чого перевірка певних об’єктів аудиту не була доцільної (Аудит ефективності та </w:t>
      </w:r>
      <w:proofErr w:type="spellStart"/>
      <w:r w:rsidR="007E4ACC">
        <w:t>результативносі</w:t>
      </w:r>
      <w:proofErr w:type="spellEnd"/>
      <w:r w:rsidR="007E4ACC">
        <w:t xml:space="preserve"> здійснення капітальних видатків в Конституційному Суді України)</w:t>
      </w:r>
    </w:p>
    <w:p w:rsidR="00D65D04" w:rsidRDefault="00D65D04" w:rsidP="00D65D04">
      <w:pPr>
        <w:pStyle w:val="a7"/>
        <w:jc w:val="both"/>
      </w:pPr>
      <w:r>
        <w:t>1.7. Ключові проблемні питання діяльності підрозділів внутрішнього аудиту, які виникали протягом звітного періоду.</w:t>
      </w:r>
    </w:p>
    <w:p w:rsidR="009D42F5" w:rsidRDefault="009D42F5" w:rsidP="009D42F5">
      <w:pPr>
        <w:shd w:val="clear" w:color="auto" w:fill="FFFFFF"/>
        <w:ind w:firstLine="709"/>
        <w:jc w:val="both"/>
        <w:rPr>
          <w:rFonts w:eastAsia="Times New Roman" w:cs="Times New Roman"/>
          <w:szCs w:val="24"/>
          <w:lang w:eastAsia="uk-UA"/>
        </w:rPr>
      </w:pPr>
      <w:r>
        <w:rPr>
          <w:rFonts w:eastAsia="Times New Roman" w:cs="Times New Roman"/>
          <w:szCs w:val="24"/>
          <w:lang w:eastAsia="uk-UA"/>
        </w:rPr>
        <w:t xml:space="preserve">Під час здійснення внутрішнього аудиту у Суді повністю дотримується Декларація внутрішнього аудиту та внутрішні документи з питань внутрішнього аудиту та </w:t>
      </w:r>
      <w:proofErr w:type="spellStart"/>
      <w:r>
        <w:rPr>
          <w:rFonts w:eastAsia="Times New Roman" w:cs="Times New Roman"/>
          <w:szCs w:val="24"/>
          <w:lang w:eastAsia="uk-UA"/>
        </w:rPr>
        <w:t>уникаються</w:t>
      </w:r>
      <w:proofErr w:type="spellEnd"/>
      <w:r>
        <w:rPr>
          <w:rFonts w:eastAsia="Times New Roman" w:cs="Times New Roman"/>
          <w:szCs w:val="24"/>
          <w:lang w:eastAsia="uk-UA"/>
        </w:rPr>
        <w:t xml:space="preserve"> проблемні питання та ситуації в діяльності головного спеціаліста з питань внутрішнього аудиту.</w:t>
      </w:r>
    </w:p>
    <w:p w:rsidR="00D65D04" w:rsidRDefault="00D65D04" w:rsidP="00D65D04">
      <w:pPr>
        <w:pStyle w:val="a7"/>
        <w:jc w:val="both"/>
      </w:pPr>
      <w:r>
        <w:t>1.8. Обмеження щодо роботи підрозділів внутрішнього аудиту, що виникали протягом звітного періоду, та вжиті заходи щодо їх усунення.</w:t>
      </w:r>
    </w:p>
    <w:p w:rsidR="009D42F5" w:rsidRDefault="009D42F5" w:rsidP="00D65D04">
      <w:pPr>
        <w:pStyle w:val="a7"/>
        <w:jc w:val="both"/>
      </w:pPr>
      <w:r>
        <w:t>Обмеження щодо роботи з питань внутрішнього аудиту у Суді в цілому відсутні. В 2022 році вони виникали тільки через фактори пов’язані зі збройною агресією Росії проти України.</w:t>
      </w:r>
    </w:p>
    <w:p w:rsidR="00D65D04" w:rsidRDefault="00D65D04" w:rsidP="00D65D04">
      <w:pPr>
        <w:pStyle w:val="a7"/>
        <w:jc w:val="both"/>
      </w:pPr>
      <w:r>
        <w:t>1.9. Інформація про отримані протягом звітного періоду скарги, які стосуються діяльності з внутрішнього аудиту (у разі надходження).</w:t>
      </w:r>
    </w:p>
    <w:p w:rsidR="00304B72" w:rsidRDefault="00304B72" w:rsidP="00D65D04">
      <w:pPr>
        <w:pStyle w:val="a7"/>
        <w:jc w:val="both"/>
      </w:pPr>
      <w:r>
        <w:t>Скарги не надходили протягом звітного періоду.</w:t>
      </w:r>
    </w:p>
    <w:p w:rsidR="00D65D04" w:rsidRPr="00D65D04" w:rsidRDefault="00D65D04" w:rsidP="00D65D04">
      <w:pPr>
        <w:pStyle w:val="3"/>
        <w:rPr>
          <w:rFonts w:ascii="Times New Roman" w:eastAsia="Times New Roman" w:hAnsi="Times New Roman" w:cs="Times New Roman"/>
          <w:b/>
          <w:color w:val="000000" w:themeColor="text1"/>
        </w:rPr>
      </w:pPr>
      <w:r w:rsidRPr="00D65D04">
        <w:rPr>
          <w:rFonts w:ascii="Times New Roman" w:eastAsia="Times New Roman" w:hAnsi="Times New Roman" w:cs="Times New Roman"/>
          <w:b/>
          <w:color w:val="000000" w:themeColor="text1"/>
        </w:rPr>
        <w:lastRenderedPageBreak/>
        <w:t>II. Проведення внутрішніх аудитів</w:t>
      </w:r>
    </w:p>
    <w:p w:rsidR="00D65D04" w:rsidRDefault="00D65D04" w:rsidP="00D65D04">
      <w:pPr>
        <w:pStyle w:val="a7"/>
        <w:jc w:val="both"/>
      </w:pPr>
      <w:r>
        <w:t>2.1. Інформація про теми позапланових внутрішніх аудитів, проведених підрозділами внутрішнього аудиту протягом звітного періоду, у тому числі тих, що тривають станом на кінець звітного періоду, а також підстави їх проведення (доручення, звернення тощо із відповідним обґрунтуванням) та загальну кількість витраченого робочого часу (людино-днів) на їх проведення.</w:t>
      </w:r>
    </w:p>
    <w:p w:rsidR="001A2216" w:rsidRDefault="001A2216" w:rsidP="00D65D04">
      <w:pPr>
        <w:pStyle w:val="a7"/>
        <w:jc w:val="both"/>
        <w:rPr>
          <w:rFonts w:eastAsiaTheme="minorEastAsia"/>
        </w:rPr>
      </w:pPr>
      <w:r>
        <w:t>Позапланові аудити не проводились.</w:t>
      </w:r>
    </w:p>
    <w:p w:rsidR="00D65D04" w:rsidRDefault="00D65D04" w:rsidP="00D65D04">
      <w:pPr>
        <w:pStyle w:val="a7"/>
        <w:jc w:val="both"/>
      </w:pPr>
      <w:r>
        <w:t>2.2. Інформація про теми планових внутрішніх аудитів, які розпочато та не завершено на кінець звітного періоду, а також загальну кількість витраченого робочого часу (людино-днів) на їх проведення за звітний період.</w:t>
      </w:r>
    </w:p>
    <w:p w:rsidR="00D65D04" w:rsidRDefault="00D65D04" w:rsidP="00D65D04">
      <w:pPr>
        <w:pStyle w:val="a7"/>
        <w:jc w:val="both"/>
      </w:pPr>
      <w:r>
        <w:t>2.3. Основні недоліки щодо організації та функціонування внутрішнього контролю, виявлені за результатами внутрішніх аудитів, та вжиті заходи щодо його вдосконалення за такою формою:</w:t>
      </w:r>
      <w:r w:rsidR="00284F88">
        <w:t xml:space="preserve">                                                                                                                              </w:t>
      </w:r>
      <w:r w:rsidR="00284F88" w:rsidRPr="00284F88">
        <w:rPr>
          <w:i/>
        </w:rPr>
        <w:t>Таблиця 2.1.</w:t>
      </w:r>
    </w:p>
    <w:tbl>
      <w:tblPr>
        <w:tblpPr w:leftFromText="45" w:rightFromText="45" w:vertAnchor="text" w:horzAnchor="margin" w:tblpY="53"/>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24"/>
        <w:gridCol w:w="2771"/>
        <w:gridCol w:w="2205"/>
        <w:gridCol w:w="2322"/>
      </w:tblGrid>
      <w:tr w:rsidR="00284F88" w:rsidTr="00284F88">
        <w:trPr>
          <w:tblCellSpacing w:w="22" w:type="dxa"/>
        </w:trPr>
        <w:tc>
          <w:tcPr>
            <w:tcW w:w="1173" w:type="pct"/>
            <w:tcBorders>
              <w:top w:val="outset" w:sz="6" w:space="0" w:color="auto"/>
              <w:left w:val="outset" w:sz="6" w:space="0" w:color="auto"/>
              <w:bottom w:val="outset" w:sz="6" w:space="0" w:color="auto"/>
              <w:right w:val="outset" w:sz="6" w:space="0" w:color="auto"/>
            </w:tcBorders>
            <w:hideMark/>
          </w:tcPr>
          <w:p w:rsidR="00284F88" w:rsidRPr="00284F88" w:rsidRDefault="00284F88" w:rsidP="00284F88">
            <w:pPr>
              <w:pStyle w:val="a7"/>
              <w:jc w:val="center"/>
              <w:rPr>
                <w:sz w:val="20"/>
                <w:szCs w:val="20"/>
              </w:rPr>
            </w:pPr>
            <w:r w:rsidRPr="00284F88">
              <w:rPr>
                <w:sz w:val="20"/>
                <w:szCs w:val="20"/>
              </w:rPr>
              <w:t>Суть виявлених недоліків</w:t>
            </w:r>
          </w:p>
        </w:tc>
        <w:tc>
          <w:tcPr>
            <w:tcW w:w="1417" w:type="pct"/>
            <w:tcBorders>
              <w:top w:val="outset" w:sz="6" w:space="0" w:color="auto"/>
              <w:left w:val="outset" w:sz="6" w:space="0" w:color="auto"/>
              <w:bottom w:val="outset" w:sz="6" w:space="0" w:color="auto"/>
              <w:right w:val="outset" w:sz="6" w:space="0" w:color="auto"/>
            </w:tcBorders>
            <w:hideMark/>
          </w:tcPr>
          <w:p w:rsidR="00284F88" w:rsidRPr="00284F88" w:rsidRDefault="00284F88" w:rsidP="00284F88">
            <w:pPr>
              <w:pStyle w:val="a7"/>
              <w:jc w:val="center"/>
              <w:rPr>
                <w:sz w:val="20"/>
                <w:szCs w:val="20"/>
              </w:rPr>
            </w:pPr>
            <w:r w:rsidRPr="00284F88">
              <w:rPr>
                <w:sz w:val="20"/>
                <w:szCs w:val="20"/>
              </w:rPr>
              <w:t>Елемент (або елементи) системи внутрішнього контролю, яких стосуються такі недоліки</w:t>
            </w:r>
          </w:p>
        </w:tc>
        <w:tc>
          <w:tcPr>
            <w:tcW w:w="1123" w:type="pct"/>
            <w:tcBorders>
              <w:top w:val="outset" w:sz="6" w:space="0" w:color="auto"/>
              <w:left w:val="outset" w:sz="6" w:space="0" w:color="auto"/>
              <w:bottom w:val="outset" w:sz="6" w:space="0" w:color="auto"/>
              <w:right w:val="outset" w:sz="6" w:space="0" w:color="auto"/>
            </w:tcBorders>
            <w:hideMark/>
          </w:tcPr>
          <w:p w:rsidR="00284F88" w:rsidRPr="00284F88" w:rsidRDefault="00284F88" w:rsidP="00284F88">
            <w:pPr>
              <w:pStyle w:val="a7"/>
              <w:jc w:val="center"/>
              <w:rPr>
                <w:sz w:val="20"/>
                <w:szCs w:val="20"/>
              </w:rPr>
            </w:pPr>
            <w:r w:rsidRPr="00284F88">
              <w:rPr>
                <w:sz w:val="20"/>
                <w:szCs w:val="20"/>
              </w:rPr>
              <w:t>Кількість об'єктів внутрішнього аудиту, під час дослідження яких виявлено недоліки</w:t>
            </w:r>
          </w:p>
        </w:tc>
        <w:tc>
          <w:tcPr>
            <w:tcW w:w="1172" w:type="pct"/>
            <w:tcBorders>
              <w:top w:val="outset" w:sz="6" w:space="0" w:color="auto"/>
              <w:left w:val="outset" w:sz="6" w:space="0" w:color="auto"/>
              <w:bottom w:val="outset" w:sz="6" w:space="0" w:color="auto"/>
              <w:right w:val="outset" w:sz="6" w:space="0" w:color="auto"/>
            </w:tcBorders>
            <w:hideMark/>
          </w:tcPr>
          <w:p w:rsidR="00284F88" w:rsidRPr="00284F88" w:rsidRDefault="00284F88" w:rsidP="00284F88">
            <w:pPr>
              <w:pStyle w:val="a7"/>
              <w:jc w:val="center"/>
              <w:rPr>
                <w:sz w:val="20"/>
                <w:szCs w:val="20"/>
              </w:rPr>
            </w:pPr>
            <w:r w:rsidRPr="00284F88">
              <w:rPr>
                <w:sz w:val="20"/>
                <w:szCs w:val="20"/>
              </w:rPr>
              <w:t>Вжиті заходи з удосконалення системи внутрішнього контролю чи окремих її елементів</w:t>
            </w:r>
          </w:p>
        </w:tc>
      </w:tr>
      <w:tr w:rsidR="00284F88" w:rsidTr="00284F88">
        <w:trPr>
          <w:tblCellSpacing w:w="22" w:type="dxa"/>
        </w:trPr>
        <w:tc>
          <w:tcPr>
            <w:tcW w:w="1173" w:type="pct"/>
            <w:tcBorders>
              <w:top w:val="outset" w:sz="6" w:space="0" w:color="auto"/>
              <w:left w:val="outset" w:sz="6" w:space="0" w:color="auto"/>
              <w:bottom w:val="outset" w:sz="6" w:space="0" w:color="auto"/>
              <w:right w:val="outset" w:sz="6" w:space="0" w:color="auto"/>
            </w:tcBorders>
            <w:hideMark/>
          </w:tcPr>
          <w:p w:rsidR="00284F88" w:rsidRPr="00284F88" w:rsidRDefault="00284F88" w:rsidP="00284F88">
            <w:pPr>
              <w:pStyle w:val="a7"/>
              <w:jc w:val="center"/>
              <w:rPr>
                <w:sz w:val="20"/>
                <w:szCs w:val="20"/>
              </w:rPr>
            </w:pPr>
            <w:r w:rsidRPr="00284F88">
              <w:rPr>
                <w:sz w:val="20"/>
                <w:szCs w:val="20"/>
              </w:rPr>
              <w:t>1</w:t>
            </w:r>
          </w:p>
        </w:tc>
        <w:tc>
          <w:tcPr>
            <w:tcW w:w="1417" w:type="pct"/>
            <w:tcBorders>
              <w:top w:val="outset" w:sz="6" w:space="0" w:color="auto"/>
              <w:left w:val="outset" w:sz="6" w:space="0" w:color="auto"/>
              <w:bottom w:val="outset" w:sz="6" w:space="0" w:color="auto"/>
              <w:right w:val="outset" w:sz="6" w:space="0" w:color="auto"/>
            </w:tcBorders>
            <w:hideMark/>
          </w:tcPr>
          <w:p w:rsidR="00284F88" w:rsidRPr="00284F88" w:rsidRDefault="00284F88" w:rsidP="00284F88">
            <w:pPr>
              <w:pStyle w:val="a7"/>
              <w:jc w:val="center"/>
              <w:rPr>
                <w:sz w:val="20"/>
                <w:szCs w:val="20"/>
              </w:rPr>
            </w:pPr>
            <w:r w:rsidRPr="00284F88">
              <w:rPr>
                <w:sz w:val="20"/>
                <w:szCs w:val="20"/>
              </w:rPr>
              <w:t>2</w:t>
            </w:r>
          </w:p>
        </w:tc>
        <w:tc>
          <w:tcPr>
            <w:tcW w:w="1123" w:type="pct"/>
            <w:tcBorders>
              <w:top w:val="outset" w:sz="6" w:space="0" w:color="auto"/>
              <w:left w:val="outset" w:sz="6" w:space="0" w:color="auto"/>
              <w:bottom w:val="outset" w:sz="6" w:space="0" w:color="auto"/>
              <w:right w:val="outset" w:sz="6" w:space="0" w:color="auto"/>
            </w:tcBorders>
            <w:hideMark/>
          </w:tcPr>
          <w:p w:rsidR="00284F88" w:rsidRPr="00284F88" w:rsidRDefault="00284F88" w:rsidP="00284F88">
            <w:pPr>
              <w:pStyle w:val="a7"/>
              <w:jc w:val="center"/>
              <w:rPr>
                <w:sz w:val="20"/>
                <w:szCs w:val="20"/>
              </w:rPr>
            </w:pPr>
            <w:r w:rsidRPr="00284F88">
              <w:rPr>
                <w:sz w:val="20"/>
                <w:szCs w:val="20"/>
              </w:rPr>
              <w:t>3</w:t>
            </w:r>
          </w:p>
        </w:tc>
        <w:tc>
          <w:tcPr>
            <w:tcW w:w="1172" w:type="pct"/>
            <w:tcBorders>
              <w:top w:val="outset" w:sz="6" w:space="0" w:color="auto"/>
              <w:left w:val="outset" w:sz="6" w:space="0" w:color="auto"/>
              <w:bottom w:val="outset" w:sz="6" w:space="0" w:color="auto"/>
              <w:right w:val="outset" w:sz="6" w:space="0" w:color="auto"/>
            </w:tcBorders>
            <w:hideMark/>
          </w:tcPr>
          <w:p w:rsidR="00284F88" w:rsidRPr="00284F88" w:rsidRDefault="00284F88" w:rsidP="00284F88">
            <w:pPr>
              <w:pStyle w:val="a7"/>
              <w:jc w:val="center"/>
              <w:rPr>
                <w:sz w:val="20"/>
                <w:szCs w:val="20"/>
              </w:rPr>
            </w:pPr>
            <w:r w:rsidRPr="00284F88">
              <w:rPr>
                <w:sz w:val="20"/>
                <w:szCs w:val="20"/>
              </w:rPr>
              <w:t>4</w:t>
            </w:r>
          </w:p>
        </w:tc>
      </w:tr>
      <w:tr w:rsidR="00284F88" w:rsidTr="00284F88">
        <w:trPr>
          <w:tblCellSpacing w:w="22" w:type="dxa"/>
        </w:trPr>
        <w:tc>
          <w:tcPr>
            <w:tcW w:w="1173" w:type="pct"/>
            <w:tcBorders>
              <w:top w:val="outset" w:sz="6" w:space="0" w:color="auto"/>
              <w:left w:val="outset" w:sz="6" w:space="0" w:color="auto"/>
              <w:bottom w:val="outset" w:sz="6" w:space="0" w:color="auto"/>
              <w:right w:val="outset" w:sz="6" w:space="0" w:color="auto"/>
            </w:tcBorders>
            <w:hideMark/>
          </w:tcPr>
          <w:p w:rsidR="00284F88" w:rsidRPr="00284F88" w:rsidRDefault="00284F88" w:rsidP="00284F88">
            <w:pPr>
              <w:pStyle w:val="a7"/>
              <w:spacing w:before="0" w:beforeAutospacing="0" w:after="0" w:afterAutospacing="0"/>
              <w:rPr>
                <w:sz w:val="20"/>
                <w:szCs w:val="20"/>
              </w:rPr>
            </w:pPr>
            <w:r w:rsidRPr="00284F88">
              <w:rPr>
                <w:sz w:val="20"/>
                <w:szCs w:val="20"/>
              </w:rPr>
              <w:t>Не в повному обсязі виконані завдання та функції Відділу контролю Департаменту організаційної роботи Секретаріату Конституційного Суду України передбачені підпунктами 1, 5-6 пункту 41 Положення про Департамент організаційної роботи Секретаріату Конституційного Суду України, затверджене 15.06.2021 року</w:t>
            </w:r>
          </w:p>
        </w:tc>
        <w:tc>
          <w:tcPr>
            <w:tcW w:w="1417" w:type="pct"/>
            <w:tcBorders>
              <w:top w:val="outset" w:sz="6" w:space="0" w:color="auto"/>
              <w:left w:val="outset" w:sz="6" w:space="0" w:color="auto"/>
              <w:bottom w:val="outset" w:sz="6" w:space="0" w:color="auto"/>
              <w:right w:val="outset" w:sz="6" w:space="0" w:color="auto"/>
            </w:tcBorders>
            <w:hideMark/>
          </w:tcPr>
          <w:p w:rsidR="00284F88" w:rsidRPr="00284F88" w:rsidRDefault="00284F88" w:rsidP="00284F88">
            <w:pPr>
              <w:pStyle w:val="a7"/>
              <w:jc w:val="center"/>
              <w:rPr>
                <w:sz w:val="20"/>
                <w:szCs w:val="20"/>
              </w:rPr>
            </w:pPr>
            <w:r w:rsidRPr="00284F88">
              <w:rPr>
                <w:sz w:val="20"/>
                <w:szCs w:val="20"/>
              </w:rPr>
              <w:t>Внутрішнє середовище</w:t>
            </w:r>
          </w:p>
        </w:tc>
        <w:tc>
          <w:tcPr>
            <w:tcW w:w="1123" w:type="pct"/>
            <w:tcBorders>
              <w:top w:val="outset" w:sz="6" w:space="0" w:color="auto"/>
              <w:left w:val="outset" w:sz="6" w:space="0" w:color="auto"/>
              <w:bottom w:val="outset" w:sz="6" w:space="0" w:color="auto"/>
              <w:right w:val="outset" w:sz="6" w:space="0" w:color="auto"/>
            </w:tcBorders>
            <w:hideMark/>
          </w:tcPr>
          <w:p w:rsidR="00284F88" w:rsidRPr="00284F88" w:rsidRDefault="00284F88" w:rsidP="00284F88">
            <w:pPr>
              <w:pStyle w:val="a7"/>
              <w:jc w:val="center"/>
              <w:rPr>
                <w:sz w:val="20"/>
                <w:szCs w:val="20"/>
              </w:rPr>
            </w:pPr>
            <w:r w:rsidRPr="00284F88">
              <w:rPr>
                <w:sz w:val="20"/>
                <w:szCs w:val="20"/>
              </w:rPr>
              <w:t>1</w:t>
            </w:r>
          </w:p>
        </w:tc>
        <w:tc>
          <w:tcPr>
            <w:tcW w:w="1172" w:type="pct"/>
            <w:tcBorders>
              <w:top w:val="outset" w:sz="6" w:space="0" w:color="auto"/>
              <w:left w:val="outset" w:sz="6" w:space="0" w:color="auto"/>
              <w:bottom w:val="outset" w:sz="6" w:space="0" w:color="auto"/>
              <w:right w:val="outset" w:sz="6" w:space="0" w:color="auto"/>
            </w:tcBorders>
            <w:hideMark/>
          </w:tcPr>
          <w:p w:rsidR="00284F88" w:rsidRPr="00284F88" w:rsidRDefault="00284F88" w:rsidP="00284F88">
            <w:pPr>
              <w:pStyle w:val="a7"/>
              <w:rPr>
                <w:sz w:val="20"/>
                <w:szCs w:val="20"/>
              </w:rPr>
            </w:pPr>
            <w:r w:rsidRPr="00284F88">
              <w:rPr>
                <w:sz w:val="20"/>
                <w:szCs w:val="20"/>
              </w:rPr>
              <w:t xml:space="preserve"> Для додаткового контролю та відслідковування вчасного та повного виконання контрольних доручень було видано доручення до </w:t>
            </w:r>
            <w:proofErr w:type="spellStart"/>
            <w:r w:rsidRPr="00284F88">
              <w:rPr>
                <w:sz w:val="20"/>
                <w:szCs w:val="20"/>
              </w:rPr>
              <w:t>вх</w:t>
            </w:r>
            <w:proofErr w:type="spellEnd"/>
            <w:r w:rsidRPr="00284F88">
              <w:rPr>
                <w:sz w:val="20"/>
                <w:szCs w:val="20"/>
              </w:rPr>
              <w:t>. № 21/1913 від 05.08.2022 щодо надання щопонеділка та щоп’ятниці інформації керівнику Секретаріату щодо виконання контрольних доручень по кожному зі структурних відділів.</w:t>
            </w:r>
          </w:p>
        </w:tc>
      </w:tr>
      <w:tr w:rsidR="00284F88" w:rsidTr="00284F88">
        <w:trPr>
          <w:tblCellSpacing w:w="22" w:type="dxa"/>
        </w:trPr>
        <w:tc>
          <w:tcPr>
            <w:tcW w:w="1173" w:type="pct"/>
            <w:tcBorders>
              <w:top w:val="outset" w:sz="6" w:space="0" w:color="auto"/>
              <w:left w:val="outset" w:sz="6" w:space="0" w:color="auto"/>
              <w:bottom w:val="outset" w:sz="6" w:space="0" w:color="auto"/>
              <w:right w:val="outset" w:sz="6" w:space="0" w:color="auto"/>
            </w:tcBorders>
          </w:tcPr>
          <w:p w:rsidR="00284F88" w:rsidRPr="00284F88" w:rsidRDefault="00284F88" w:rsidP="00284F88">
            <w:pPr>
              <w:pStyle w:val="a7"/>
              <w:rPr>
                <w:sz w:val="20"/>
                <w:szCs w:val="20"/>
              </w:rPr>
            </w:pPr>
            <w:r w:rsidRPr="00284F88">
              <w:rPr>
                <w:sz w:val="20"/>
                <w:szCs w:val="20"/>
              </w:rPr>
              <w:t>Відсутність відстеження стану організації та функціонування системи внутрішнього контролю в цілому та/або окремих його елементів</w:t>
            </w:r>
          </w:p>
        </w:tc>
        <w:tc>
          <w:tcPr>
            <w:tcW w:w="1417" w:type="pct"/>
            <w:tcBorders>
              <w:top w:val="outset" w:sz="6" w:space="0" w:color="auto"/>
              <w:left w:val="outset" w:sz="6" w:space="0" w:color="auto"/>
              <w:bottom w:val="outset" w:sz="6" w:space="0" w:color="auto"/>
              <w:right w:val="outset" w:sz="6" w:space="0" w:color="auto"/>
            </w:tcBorders>
          </w:tcPr>
          <w:p w:rsidR="00284F88" w:rsidRPr="00284F88" w:rsidRDefault="00284F88" w:rsidP="00284F88">
            <w:pPr>
              <w:pStyle w:val="a7"/>
              <w:jc w:val="center"/>
              <w:rPr>
                <w:sz w:val="20"/>
                <w:szCs w:val="20"/>
              </w:rPr>
            </w:pPr>
            <w:r w:rsidRPr="00284F88">
              <w:rPr>
                <w:sz w:val="20"/>
                <w:szCs w:val="20"/>
              </w:rPr>
              <w:t>Моніторинг</w:t>
            </w:r>
          </w:p>
        </w:tc>
        <w:tc>
          <w:tcPr>
            <w:tcW w:w="1123" w:type="pct"/>
            <w:tcBorders>
              <w:top w:val="outset" w:sz="6" w:space="0" w:color="auto"/>
              <w:left w:val="outset" w:sz="6" w:space="0" w:color="auto"/>
              <w:bottom w:val="outset" w:sz="6" w:space="0" w:color="auto"/>
              <w:right w:val="outset" w:sz="6" w:space="0" w:color="auto"/>
            </w:tcBorders>
          </w:tcPr>
          <w:p w:rsidR="00284F88" w:rsidRPr="00284F88" w:rsidRDefault="00284F88" w:rsidP="00284F88">
            <w:pPr>
              <w:pStyle w:val="a7"/>
              <w:jc w:val="center"/>
              <w:rPr>
                <w:sz w:val="20"/>
                <w:szCs w:val="20"/>
              </w:rPr>
            </w:pPr>
            <w:r w:rsidRPr="00284F88">
              <w:rPr>
                <w:sz w:val="20"/>
                <w:szCs w:val="20"/>
              </w:rPr>
              <w:t>2</w:t>
            </w:r>
          </w:p>
        </w:tc>
        <w:tc>
          <w:tcPr>
            <w:tcW w:w="1172" w:type="pct"/>
            <w:tcBorders>
              <w:top w:val="outset" w:sz="6" w:space="0" w:color="auto"/>
              <w:left w:val="outset" w:sz="6" w:space="0" w:color="auto"/>
              <w:bottom w:val="outset" w:sz="6" w:space="0" w:color="auto"/>
              <w:right w:val="outset" w:sz="6" w:space="0" w:color="auto"/>
            </w:tcBorders>
          </w:tcPr>
          <w:p w:rsidR="00284F88" w:rsidRPr="00284F88" w:rsidRDefault="00284F88" w:rsidP="00284F88">
            <w:pPr>
              <w:pStyle w:val="a7"/>
              <w:rPr>
                <w:sz w:val="20"/>
                <w:szCs w:val="20"/>
              </w:rPr>
            </w:pPr>
            <w:r w:rsidRPr="00284F88">
              <w:rPr>
                <w:sz w:val="20"/>
                <w:szCs w:val="20"/>
              </w:rPr>
              <w:t>Закріплення відповідальності посадових осіб за проведення даного моніторингу та необхідності проведення періодичної оцінки виконання окремих завдань та функцій для проведення аналізу результативності системи внутрішнього контролю</w:t>
            </w:r>
          </w:p>
        </w:tc>
      </w:tr>
      <w:tr w:rsidR="00284F88" w:rsidTr="00284F88">
        <w:trPr>
          <w:tblCellSpacing w:w="22" w:type="dxa"/>
        </w:trPr>
        <w:tc>
          <w:tcPr>
            <w:tcW w:w="1173" w:type="pct"/>
            <w:tcBorders>
              <w:top w:val="outset" w:sz="6" w:space="0" w:color="auto"/>
              <w:left w:val="outset" w:sz="6" w:space="0" w:color="auto"/>
              <w:bottom w:val="outset" w:sz="6" w:space="0" w:color="auto"/>
              <w:right w:val="outset" w:sz="6" w:space="0" w:color="auto"/>
            </w:tcBorders>
            <w:hideMark/>
          </w:tcPr>
          <w:p w:rsidR="00284F88" w:rsidRPr="00284F88" w:rsidRDefault="00284F88" w:rsidP="00284F88">
            <w:pPr>
              <w:pStyle w:val="a7"/>
              <w:rPr>
                <w:sz w:val="20"/>
                <w:szCs w:val="20"/>
              </w:rPr>
            </w:pPr>
            <w:r w:rsidRPr="00284F88">
              <w:rPr>
                <w:sz w:val="20"/>
                <w:szCs w:val="20"/>
              </w:rPr>
              <w:t xml:space="preserve"> Прослідковувався вибірковий підхід до реєстрації або не реєстрації службових </w:t>
            </w:r>
            <w:r w:rsidRPr="00284F88">
              <w:rPr>
                <w:sz w:val="20"/>
                <w:szCs w:val="20"/>
              </w:rPr>
              <w:lastRenderedPageBreak/>
              <w:t>записок щодо визначення середнього відсотка преміювання в Суді в електронній системі документообігу Суду (СЕД Суду), чим порушено Інструкцію з діловодства в Конституційному Суді України.</w:t>
            </w:r>
          </w:p>
        </w:tc>
        <w:tc>
          <w:tcPr>
            <w:tcW w:w="1417" w:type="pct"/>
            <w:tcBorders>
              <w:top w:val="outset" w:sz="6" w:space="0" w:color="auto"/>
              <w:left w:val="outset" w:sz="6" w:space="0" w:color="auto"/>
              <w:bottom w:val="outset" w:sz="6" w:space="0" w:color="auto"/>
              <w:right w:val="outset" w:sz="6" w:space="0" w:color="auto"/>
            </w:tcBorders>
            <w:hideMark/>
          </w:tcPr>
          <w:p w:rsidR="00284F88" w:rsidRPr="00284F88" w:rsidRDefault="00284F88" w:rsidP="00284F88">
            <w:pPr>
              <w:pStyle w:val="a7"/>
              <w:jc w:val="center"/>
              <w:rPr>
                <w:sz w:val="20"/>
                <w:szCs w:val="20"/>
              </w:rPr>
            </w:pPr>
            <w:r w:rsidRPr="00284F88">
              <w:rPr>
                <w:sz w:val="20"/>
                <w:szCs w:val="20"/>
              </w:rPr>
              <w:lastRenderedPageBreak/>
              <w:t>Інформація та комунікація</w:t>
            </w:r>
          </w:p>
        </w:tc>
        <w:tc>
          <w:tcPr>
            <w:tcW w:w="1123" w:type="pct"/>
            <w:tcBorders>
              <w:top w:val="outset" w:sz="6" w:space="0" w:color="auto"/>
              <w:left w:val="outset" w:sz="6" w:space="0" w:color="auto"/>
              <w:bottom w:val="outset" w:sz="6" w:space="0" w:color="auto"/>
              <w:right w:val="outset" w:sz="6" w:space="0" w:color="auto"/>
            </w:tcBorders>
            <w:hideMark/>
          </w:tcPr>
          <w:p w:rsidR="00284F88" w:rsidRPr="00284F88" w:rsidRDefault="00284F88" w:rsidP="00284F88">
            <w:pPr>
              <w:pStyle w:val="a7"/>
              <w:jc w:val="center"/>
              <w:rPr>
                <w:sz w:val="20"/>
                <w:szCs w:val="20"/>
              </w:rPr>
            </w:pPr>
            <w:r w:rsidRPr="00284F88">
              <w:rPr>
                <w:sz w:val="20"/>
                <w:szCs w:val="20"/>
              </w:rPr>
              <w:t>2</w:t>
            </w:r>
          </w:p>
        </w:tc>
        <w:tc>
          <w:tcPr>
            <w:tcW w:w="1172" w:type="pct"/>
            <w:tcBorders>
              <w:top w:val="outset" w:sz="6" w:space="0" w:color="auto"/>
              <w:left w:val="outset" w:sz="6" w:space="0" w:color="auto"/>
              <w:bottom w:val="outset" w:sz="6" w:space="0" w:color="auto"/>
              <w:right w:val="outset" w:sz="6" w:space="0" w:color="auto"/>
            </w:tcBorders>
            <w:hideMark/>
          </w:tcPr>
          <w:p w:rsidR="00284F88" w:rsidRPr="00284F88" w:rsidRDefault="00284F88" w:rsidP="00284F88">
            <w:pPr>
              <w:pStyle w:val="a7"/>
              <w:rPr>
                <w:sz w:val="20"/>
                <w:szCs w:val="20"/>
              </w:rPr>
            </w:pPr>
            <w:r w:rsidRPr="00284F88">
              <w:rPr>
                <w:sz w:val="20"/>
                <w:szCs w:val="20"/>
              </w:rPr>
              <w:t xml:space="preserve"> Закріплення обов’язковості реєстрації будь-яких вхідних документів у системі </w:t>
            </w:r>
            <w:r w:rsidRPr="00284F88">
              <w:rPr>
                <w:sz w:val="20"/>
                <w:szCs w:val="20"/>
              </w:rPr>
              <w:lastRenderedPageBreak/>
              <w:t xml:space="preserve">електронного документообігу в новій Інструкції зі </w:t>
            </w:r>
            <w:proofErr w:type="spellStart"/>
            <w:r w:rsidRPr="00284F88">
              <w:rPr>
                <w:sz w:val="20"/>
                <w:szCs w:val="20"/>
              </w:rPr>
              <w:t>справочинства</w:t>
            </w:r>
            <w:proofErr w:type="spellEnd"/>
            <w:r w:rsidRPr="00284F88">
              <w:rPr>
                <w:sz w:val="20"/>
                <w:szCs w:val="20"/>
              </w:rPr>
              <w:t xml:space="preserve"> в Конституційному Суді України, що затверджена Розпорядженням Голови Конституційного Суду України №55/01/2022-ОД від 20.10.2022</w:t>
            </w:r>
          </w:p>
        </w:tc>
      </w:tr>
    </w:tbl>
    <w:p w:rsidR="00284F88" w:rsidRDefault="00284F88" w:rsidP="00284F88">
      <w:pPr>
        <w:pStyle w:val="a7"/>
        <w:tabs>
          <w:tab w:val="left" w:pos="486"/>
          <w:tab w:val="center" w:pos="4819"/>
        </w:tabs>
      </w:pPr>
    </w:p>
    <w:p w:rsidR="00D65D04" w:rsidRDefault="00284F88" w:rsidP="00284F88">
      <w:pPr>
        <w:pStyle w:val="a7"/>
        <w:tabs>
          <w:tab w:val="left" w:pos="486"/>
          <w:tab w:val="center" w:pos="4819"/>
        </w:tabs>
      </w:pPr>
      <w:r>
        <w:tab/>
      </w:r>
      <w:r w:rsidR="00D65D04">
        <w:t>2.4. Інші типові недоліки та проблеми, виявлені за результатами внутрішніх аудитів, та вжиті заходи щодо їх усунення.</w:t>
      </w:r>
      <w:r w:rsidR="001A2216">
        <w:t xml:space="preserve"> </w:t>
      </w:r>
    </w:p>
    <w:p w:rsidR="001A2216" w:rsidRDefault="001A2216" w:rsidP="00D65D04">
      <w:pPr>
        <w:pStyle w:val="a7"/>
        <w:jc w:val="both"/>
      </w:pPr>
      <w:r>
        <w:t>Відсутні.</w:t>
      </w:r>
    </w:p>
    <w:p w:rsidR="00D65D04" w:rsidRPr="00D65D04" w:rsidRDefault="00D65D04" w:rsidP="00D65D04">
      <w:pPr>
        <w:pStyle w:val="3"/>
        <w:rPr>
          <w:rFonts w:ascii="Times New Roman" w:eastAsia="Times New Roman" w:hAnsi="Times New Roman" w:cs="Times New Roman"/>
          <w:b/>
          <w:color w:val="000000" w:themeColor="text1"/>
        </w:rPr>
      </w:pPr>
      <w:r w:rsidRPr="00D65D04">
        <w:rPr>
          <w:rFonts w:ascii="Times New Roman" w:eastAsia="Times New Roman" w:hAnsi="Times New Roman" w:cs="Times New Roman"/>
          <w:b/>
          <w:color w:val="000000" w:themeColor="text1"/>
        </w:rPr>
        <w:t>III. Результативність внутрішнього аудиту</w:t>
      </w:r>
    </w:p>
    <w:p w:rsidR="00D65D04" w:rsidRDefault="00D65D04" w:rsidP="00D65D04">
      <w:pPr>
        <w:pStyle w:val="a7"/>
        <w:jc w:val="both"/>
      </w:pPr>
      <w:r>
        <w:t>3.1. Загальна інформація про аудиторські рекомендації, надані у звітному періоді за результатами внутрішніх аудитів, і стан їх упровадження.</w:t>
      </w:r>
      <w:r w:rsidR="001A2216">
        <w:t xml:space="preserve"> </w:t>
      </w:r>
    </w:p>
    <w:p w:rsidR="001A2216" w:rsidRDefault="001A2216" w:rsidP="001A2216">
      <w:pPr>
        <w:shd w:val="clear" w:color="auto" w:fill="FFFFFF"/>
        <w:ind w:firstLine="709"/>
        <w:jc w:val="both"/>
        <w:rPr>
          <w:rFonts w:eastAsia="Times New Roman" w:cs="Times New Roman"/>
          <w:szCs w:val="24"/>
          <w:lang w:eastAsia="uk-UA"/>
        </w:rPr>
      </w:pPr>
      <w:r>
        <w:rPr>
          <w:rFonts w:eastAsia="Times New Roman" w:cs="Times New Roman"/>
          <w:szCs w:val="24"/>
          <w:lang w:eastAsia="uk-UA"/>
        </w:rPr>
        <w:t xml:space="preserve">Всього надано 69 рекомендації. Переважна більшість з них стосувались: питань пов’язаних з внутрішнім контролем (відсутність управління ризиками за напрямом діяльності, не достатній внутрішній контроль за моніторингом виявлення ризиків, </w:t>
      </w:r>
      <w:proofErr w:type="spellStart"/>
      <w:r>
        <w:rPr>
          <w:rFonts w:eastAsia="Times New Roman" w:cs="Times New Roman"/>
          <w:szCs w:val="24"/>
          <w:lang w:eastAsia="uk-UA"/>
        </w:rPr>
        <w:t>задвоєність</w:t>
      </w:r>
      <w:proofErr w:type="spellEnd"/>
      <w:r>
        <w:rPr>
          <w:rFonts w:eastAsia="Times New Roman" w:cs="Times New Roman"/>
          <w:szCs w:val="24"/>
          <w:lang w:eastAsia="uk-UA"/>
        </w:rPr>
        <w:t xml:space="preserve"> функцій, відсутність чіткої зони відповідальності посадових осіб зазначених у внутрішніх документах Суду, необхідність оновлення наявних внутрішніх документів в результаті актуалізації законодавства тощо); питань пов’язаних з реалізацією та виконанням стратегічних та річних планів діяльності об’єктів аудиту; питань пов’язаних з реалізацією встановлених бюджетною програмою цілей, а також управління державним майном.</w:t>
      </w:r>
    </w:p>
    <w:p w:rsidR="002929E5" w:rsidRPr="002929E5" w:rsidRDefault="002929E5" w:rsidP="001A2216">
      <w:pPr>
        <w:shd w:val="clear" w:color="auto" w:fill="FFFFFF"/>
        <w:ind w:firstLine="709"/>
        <w:jc w:val="both"/>
        <w:rPr>
          <w:rFonts w:eastAsia="Times New Roman" w:cs="Times New Roman"/>
          <w:szCs w:val="24"/>
          <w:lang w:eastAsia="uk-UA"/>
        </w:rPr>
      </w:pPr>
      <w:r>
        <w:rPr>
          <w:rFonts w:eastAsia="Times New Roman" w:cs="Times New Roman"/>
          <w:szCs w:val="24"/>
          <w:lang w:eastAsia="uk-UA"/>
        </w:rPr>
        <w:t>На момент заповнення Пояснювальної записки впроваджено 57 (в тому числі за апаратом державного органу – 56); рекомендації, які виконані частково – 1 (в тому числі за апаратом державного органу – 1); рекомендації, які не виконані – 9 (в тому числі за апаратом державного органу – 1); рекомендації щодо яких не настав термін виконання – 2 (в тому числі за апаратом державного органу – 2).</w:t>
      </w:r>
    </w:p>
    <w:p w:rsidR="00D65D04" w:rsidRDefault="00D65D04" w:rsidP="00D65D04">
      <w:pPr>
        <w:pStyle w:val="a7"/>
        <w:jc w:val="both"/>
      </w:pPr>
      <w:r>
        <w:t>3.2. Причини відхилення рекомендацій керівником (за наявності відхилених рекомендацій).</w:t>
      </w:r>
    </w:p>
    <w:p w:rsidR="001A2216" w:rsidRDefault="001A2216" w:rsidP="00D65D04">
      <w:pPr>
        <w:pStyle w:val="a7"/>
        <w:jc w:val="both"/>
      </w:pPr>
      <w:r>
        <w:t>Відхилені рекомендації Головою Суду відсутні.</w:t>
      </w:r>
    </w:p>
    <w:p w:rsidR="00D65D04" w:rsidRDefault="00D65D04" w:rsidP="00D65D04">
      <w:pPr>
        <w:pStyle w:val="a7"/>
        <w:jc w:val="both"/>
      </w:pPr>
      <w:r>
        <w:t>3.3. Основні причини невиконання аудиторських рекомендацій (за наявності невиконаних рекомендацій).</w:t>
      </w:r>
    </w:p>
    <w:p w:rsidR="00D72C7B" w:rsidRDefault="00D72C7B" w:rsidP="00D65D04">
      <w:pPr>
        <w:pStyle w:val="a7"/>
        <w:jc w:val="both"/>
      </w:pPr>
      <w:r>
        <w:t>Порушення виконавської дисципліни та недотримання контролю з боку керівників окремих структурних підрозділів. Обмеженість в людських ресурсах через перебування великої кількості працівників в простої, відпустках без збереження заробітної плати</w:t>
      </w:r>
      <w:r w:rsidR="0022427E">
        <w:t xml:space="preserve">, </w:t>
      </w:r>
      <w:proofErr w:type="spellStart"/>
      <w:r w:rsidR="0022427E">
        <w:t>прцюючи</w:t>
      </w:r>
      <w:proofErr w:type="spellEnd"/>
      <w:r w:rsidR="0022427E">
        <w:t xml:space="preserve"> дистанційно.</w:t>
      </w:r>
    </w:p>
    <w:p w:rsidR="00D65D04" w:rsidRDefault="00D65D04" w:rsidP="00D65D04">
      <w:pPr>
        <w:pStyle w:val="a7"/>
        <w:jc w:val="both"/>
      </w:pPr>
      <w:r>
        <w:t>3.4. Результати впровадження аудиторських рекомендацій за такою формою:</w:t>
      </w:r>
    </w:p>
    <w:p w:rsidR="00941610" w:rsidRDefault="00941610" w:rsidP="00D65D04">
      <w:pPr>
        <w:pStyle w:val="a7"/>
        <w:jc w:val="right"/>
        <w:rPr>
          <w:i/>
          <w:iCs/>
        </w:rPr>
      </w:pPr>
    </w:p>
    <w:p w:rsidR="00941610" w:rsidRDefault="00941610" w:rsidP="00D65D04">
      <w:pPr>
        <w:pStyle w:val="a7"/>
        <w:jc w:val="right"/>
        <w:rPr>
          <w:i/>
          <w:iCs/>
        </w:rPr>
      </w:pPr>
    </w:p>
    <w:p w:rsidR="00D65D04" w:rsidRDefault="00D65D04" w:rsidP="00D65D04">
      <w:pPr>
        <w:pStyle w:val="a7"/>
        <w:jc w:val="right"/>
      </w:pPr>
      <w:r>
        <w:rPr>
          <w:i/>
          <w:iCs/>
        </w:rPr>
        <w:lastRenderedPageBreak/>
        <w:t>Таблиця 3.1</w:t>
      </w:r>
    </w:p>
    <w:tbl>
      <w:tblPr>
        <w:tblpPr w:leftFromText="45" w:rightFromText="45" w:vertAnchor="text" w:horzAnchor="margin" w:tblpY="-77"/>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78"/>
        <w:gridCol w:w="3161"/>
        <w:gridCol w:w="3183"/>
      </w:tblGrid>
      <w:tr w:rsidR="00D65D04" w:rsidTr="00941610">
        <w:trPr>
          <w:tblCellSpacing w:w="22" w:type="dxa"/>
        </w:trPr>
        <w:tc>
          <w:tcPr>
            <w:tcW w:w="1669" w:type="pct"/>
            <w:tcBorders>
              <w:top w:val="outset" w:sz="6" w:space="0" w:color="auto"/>
              <w:left w:val="outset" w:sz="6" w:space="0" w:color="auto"/>
              <w:bottom w:val="outset" w:sz="6" w:space="0" w:color="auto"/>
              <w:right w:val="outset" w:sz="6" w:space="0" w:color="auto"/>
            </w:tcBorders>
            <w:hideMark/>
          </w:tcPr>
          <w:p w:rsidR="00D65D04" w:rsidRPr="00941610" w:rsidRDefault="00D65D04" w:rsidP="00941610">
            <w:pPr>
              <w:pStyle w:val="a7"/>
              <w:jc w:val="center"/>
              <w:rPr>
                <w:sz w:val="20"/>
                <w:szCs w:val="20"/>
              </w:rPr>
            </w:pPr>
            <w:r w:rsidRPr="00941610">
              <w:rPr>
                <w:sz w:val="20"/>
                <w:szCs w:val="20"/>
              </w:rPr>
              <w:t>Виконані рекомендації, за якими досягнуто результативність</w:t>
            </w:r>
          </w:p>
        </w:tc>
        <w:tc>
          <w:tcPr>
            <w:tcW w:w="1620" w:type="pct"/>
            <w:tcBorders>
              <w:top w:val="outset" w:sz="6" w:space="0" w:color="auto"/>
              <w:left w:val="outset" w:sz="6" w:space="0" w:color="auto"/>
              <w:bottom w:val="outset" w:sz="6" w:space="0" w:color="auto"/>
              <w:right w:val="outset" w:sz="6" w:space="0" w:color="auto"/>
            </w:tcBorders>
            <w:hideMark/>
          </w:tcPr>
          <w:p w:rsidR="00D65D04" w:rsidRPr="00941610" w:rsidRDefault="00D65D04" w:rsidP="00941610">
            <w:pPr>
              <w:pStyle w:val="a7"/>
              <w:jc w:val="center"/>
              <w:rPr>
                <w:sz w:val="20"/>
                <w:szCs w:val="20"/>
              </w:rPr>
            </w:pPr>
            <w:r w:rsidRPr="00941610">
              <w:rPr>
                <w:sz w:val="20"/>
                <w:szCs w:val="20"/>
              </w:rPr>
              <w:t>Суть недоліків/проблем, виявлених за результатами внутрішніх аудитів, та рік, у якому їх було виявлено</w:t>
            </w:r>
          </w:p>
        </w:tc>
        <w:tc>
          <w:tcPr>
            <w:tcW w:w="1620" w:type="pct"/>
            <w:tcBorders>
              <w:top w:val="outset" w:sz="6" w:space="0" w:color="auto"/>
              <w:left w:val="outset" w:sz="6" w:space="0" w:color="auto"/>
              <w:bottom w:val="outset" w:sz="6" w:space="0" w:color="auto"/>
              <w:right w:val="outset" w:sz="6" w:space="0" w:color="auto"/>
            </w:tcBorders>
            <w:hideMark/>
          </w:tcPr>
          <w:p w:rsidR="00D65D04" w:rsidRPr="00941610" w:rsidRDefault="00D65D04" w:rsidP="00941610">
            <w:pPr>
              <w:pStyle w:val="a7"/>
              <w:jc w:val="center"/>
              <w:rPr>
                <w:sz w:val="20"/>
                <w:szCs w:val="20"/>
              </w:rPr>
            </w:pPr>
            <w:r w:rsidRPr="00941610">
              <w:rPr>
                <w:sz w:val="20"/>
                <w:szCs w:val="20"/>
              </w:rPr>
              <w:t>Результати впровадження рекомендацій</w:t>
            </w:r>
          </w:p>
        </w:tc>
      </w:tr>
      <w:tr w:rsidR="00D65D04" w:rsidTr="00941610">
        <w:trPr>
          <w:tblCellSpacing w:w="22" w:type="dxa"/>
        </w:trPr>
        <w:tc>
          <w:tcPr>
            <w:tcW w:w="1669" w:type="pct"/>
            <w:tcBorders>
              <w:top w:val="outset" w:sz="6" w:space="0" w:color="auto"/>
              <w:left w:val="outset" w:sz="6" w:space="0" w:color="auto"/>
              <w:bottom w:val="outset" w:sz="6" w:space="0" w:color="auto"/>
              <w:right w:val="outset" w:sz="6" w:space="0" w:color="auto"/>
            </w:tcBorders>
            <w:hideMark/>
          </w:tcPr>
          <w:p w:rsidR="00D65D04" w:rsidRPr="00941610" w:rsidRDefault="00D65D04" w:rsidP="00941610">
            <w:pPr>
              <w:pStyle w:val="a7"/>
              <w:jc w:val="center"/>
              <w:rPr>
                <w:sz w:val="20"/>
                <w:szCs w:val="20"/>
              </w:rPr>
            </w:pPr>
            <w:r w:rsidRPr="00941610">
              <w:rPr>
                <w:sz w:val="20"/>
                <w:szCs w:val="20"/>
              </w:rPr>
              <w:t>1</w:t>
            </w:r>
          </w:p>
        </w:tc>
        <w:tc>
          <w:tcPr>
            <w:tcW w:w="1620" w:type="pct"/>
            <w:tcBorders>
              <w:top w:val="outset" w:sz="6" w:space="0" w:color="auto"/>
              <w:left w:val="outset" w:sz="6" w:space="0" w:color="auto"/>
              <w:bottom w:val="outset" w:sz="6" w:space="0" w:color="auto"/>
              <w:right w:val="outset" w:sz="6" w:space="0" w:color="auto"/>
            </w:tcBorders>
            <w:hideMark/>
          </w:tcPr>
          <w:p w:rsidR="00D65D04" w:rsidRPr="00941610" w:rsidRDefault="00D65D04" w:rsidP="00941610">
            <w:pPr>
              <w:pStyle w:val="a7"/>
              <w:jc w:val="center"/>
              <w:rPr>
                <w:sz w:val="20"/>
                <w:szCs w:val="20"/>
              </w:rPr>
            </w:pPr>
            <w:r w:rsidRPr="00941610">
              <w:rPr>
                <w:sz w:val="20"/>
                <w:szCs w:val="20"/>
              </w:rPr>
              <w:t>2</w:t>
            </w:r>
          </w:p>
        </w:tc>
        <w:tc>
          <w:tcPr>
            <w:tcW w:w="1620" w:type="pct"/>
            <w:tcBorders>
              <w:top w:val="outset" w:sz="6" w:space="0" w:color="auto"/>
              <w:left w:val="outset" w:sz="6" w:space="0" w:color="auto"/>
              <w:bottom w:val="outset" w:sz="6" w:space="0" w:color="auto"/>
              <w:right w:val="outset" w:sz="6" w:space="0" w:color="auto"/>
            </w:tcBorders>
            <w:hideMark/>
          </w:tcPr>
          <w:p w:rsidR="00D65D04" w:rsidRPr="00941610" w:rsidRDefault="00D65D04" w:rsidP="00941610">
            <w:pPr>
              <w:pStyle w:val="a7"/>
              <w:jc w:val="center"/>
              <w:rPr>
                <w:sz w:val="20"/>
                <w:szCs w:val="20"/>
              </w:rPr>
            </w:pPr>
            <w:r w:rsidRPr="00941610">
              <w:rPr>
                <w:sz w:val="20"/>
                <w:szCs w:val="20"/>
              </w:rPr>
              <w:t>3</w:t>
            </w:r>
          </w:p>
        </w:tc>
      </w:tr>
      <w:tr w:rsidR="00D65D04" w:rsidTr="00941610">
        <w:trPr>
          <w:tblCellSpacing w:w="22" w:type="dxa"/>
        </w:trPr>
        <w:tc>
          <w:tcPr>
            <w:tcW w:w="1669" w:type="pct"/>
            <w:tcBorders>
              <w:top w:val="outset" w:sz="6" w:space="0" w:color="auto"/>
              <w:left w:val="outset" w:sz="6" w:space="0" w:color="auto"/>
              <w:bottom w:val="outset" w:sz="6" w:space="0" w:color="auto"/>
              <w:right w:val="outset" w:sz="6" w:space="0" w:color="auto"/>
            </w:tcBorders>
            <w:hideMark/>
          </w:tcPr>
          <w:p w:rsidR="00D65D04" w:rsidRPr="00941610" w:rsidRDefault="00D65D04" w:rsidP="00941610">
            <w:pPr>
              <w:pStyle w:val="a7"/>
              <w:rPr>
                <w:sz w:val="20"/>
                <w:szCs w:val="20"/>
              </w:rPr>
            </w:pPr>
            <w:r w:rsidRPr="00941610">
              <w:rPr>
                <w:sz w:val="20"/>
                <w:szCs w:val="20"/>
              </w:rPr>
              <w:t> </w:t>
            </w:r>
            <w:r w:rsidR="009D48A2" w:rsidRPr="00941610">
              <w:rPr>
                <w:sz w:val="20"/>
                <w:szCs w:val="20"/>
              </w:rPr>
              <w:t xml:space="preserve">Переглянути Положення про преміювання №66 на відповідність встановленим нормам законодавства та </w:t>
            </w:r>
            <w:proofErr w:type="spellStart"/>
            <w:r w:rsidR="009D48A2" w:rsidRPr="00941610">
              <w:rPr>
                <w:sz w:val="20"/>
                <w:szCs w:val="20"/>
              </w:rPr>
              <w:t>внести</w:t>
            </w:r>
            <w:proofErr w:type="spellEnd"/>
            <w:r w:rsidR="009D48A2" w:rsidRPr="00941610">
              <w:rPr>
                <w:sz w:val="20"/>
                <w:szCs w:val="20"/>
              </w:rPr>
              <w:t xml:space="preserve"> зміни до пунктів 8, 21 та 24 з урахуванням вищезазначених зауважень. Узгодити абзац третій та четвертий пункту 24.</w:t>
            </w:r>
          </w:p>
        </w:tc>
        <w:tc>
          <w:tcPr>
            <w:tcW w:w="1620" w:type="pct"/>
            <w:tcBorders>
              <w:top w:val="outset" w:sz="6" w:space="0" w:color="auto"/>
              <w:left w:val="outset" w:sz="6" w:space="0" w:color="auto"/>
              <w:bottom w:val="outset" w:sz="6" w:space="0" w:color="auto"/>
              <w:right w:val="outset" w:sz="6" w:space="0" w:color="auto"/>
            </w:tcBorders>
            <w:hideMark/>
          </w:tcPr>
          <w:p w:rsidR="009D48A2" w:rsidRPr="00941610" w:rsidRDefault="00D65D04" w:rsidP="00941610">
            <w:pPr>
              <w:pStyle w:val="a7"/>
              <w:rPr>
                <w:sz w:val="20"/>
                <w:szCs w:val="20"/>
              </w:rPr>
            </w:pPr>
            <w:r w:rsidRPr="00941610">
              <w:rPr>
                <w:sz w:val="20"/>
                <w:szCs w:val="20"/>
              </w:rPr>
              <w:t> </w:t>
            </w:r>
            <w:r w:rsidR="009D48A2" w:rsidRPr="00941610">
              <w:rPr>
                <w:sz w:val="20"/>
                <w:szCs w:val="20"/>
                <w:lang w:val="ru-RU"/>
              </w:rPr>
              <w:t>2022 р</w:t>
            </w:r>
            <w:proofErr w:type="spellStart"/>
            <w:r w:rsidR="009D48A2" w:rsidRPr="00941610">
              <w:rPr>
                <w:sz w:val="20"/>
                <w:szCs w:val="20"/>
              </w:rPr>
              <w:t>ік</w:t>
            </w:r>
            <w:proofErr w:type="spellEnd"/>
            <w:r w:rsidR="009D48A2" w:rsidRPr="00941610">
              <w:rPr>
                <w:sz w:val="20"/>
                <w:szCs w:val="20"/>
              </w:rPr>
              <w:t>.</w:t>
            </w:r>
            <w:r w:rsidR="009D48A2" w:rsidRPr="00941610">
              <w:rPr>
                <w:sz w:val="20"/>
                <w:szCs w:val="20"/>
              </w:rPr>
              <w:br/>
              <w:t>Невідповідність встановленим нормам законодавства з питань державної служби та патронатної служби.</w:t>
            </w:r>
          </w:p>
        </w:tc>
        <w:tc>
          <w:tcPr>
            <w:tcW w:w="1620" w:type="pct"/>
            <w:tcBorders>
              <w:top w:val="outset" w:sz="6" w:space="0" w:color="auto"/>
              <w:left w:val="outset" w:sz="6" w:space="0" w:color="auto"/>
              <w:bottom w:val="outset" w:sz="6" w:space="0" w:color="auto"/>
              <w:right w:val="outset" w:sz="6" w:space="0" w:color="auto"/>
            </w:tcBorders>
            <w:hideMark/>
          </w:tcPr>
          <w:p w:rsidR="00D65D04" w:rsidRPr="00941610" w:rsidRDefault="00D65D04" w:rsidP="00941610">
            <w:pPr>
              <w:pStyle w:val="a7"/>
              <w:rPr>
                <w:sz w:val="20"/>
                <w:szCs w:val="20"/>
              </w:rPr>
            </w:pPr>
            <w:r w:rsidRPr="00941610">
              <w:rPr>
                <w:sz w:val="20"/>
                <w:szCs w:val="20"/>
              </w:rPr>
              <w:t> </w:t>
            </w:r>
            <w:proofErr w:type="spellStart"/>
            <w:r w:rsidR="009D48A2" w:rsidRPr="00941610">
              <w:rPr>
                <w:sz w:val="20"/>
                <w:szCs w:val="20"/>
              </w:rPr>
              <w:t>Внесено</w:t>
            </w:r>
            <w:proofErr w:type="spellEnd"/>
            <w:r w:rsidR="009D48A2" w:rsidRPr="00941610">
              <w:rPr>
                <w:sz w:val="20"/>
                <w:szCs w:val="20"/>
              </w:rPr>
              <w:t xml:space="preserve"> зміни до розпорядження та Положення про преміювання №66. Узгоджено всі суперечливі пункти між собою.</w:t>
            </w:r>
          </w:p>
        </w:tc>
      </w:tr>
      <w:tr w:rsidR="00D65D04" w:rsidTr="00941610">
        <w:trPr>
          <w:tblCellSpacing w:w="22" w:type="dxa"/>
        </w:trPr>
        <w:tc>
          <w:tcPr>
            <w:tcW w:w="1669" w:type="pct"/>
            <w:tcBorders>
              <w:top w:val="outset" w:sz="6" w:space="0" w:color="auto"/>
              <w:left w:val="outset" w:sz="6" w:space="0" w:color="auto"/>
              <w:bottom w:val="outset" w:sz="6" w:space="0" w:color="auto"/>
              <w:right w:val="outset" w:sz="6" w:space="0" w:color="auto"/>
            </w:tcBorders>
            <w:hideMark/>
          </w:tcPr>
          <w:p w:rsidR="00D65D04" w:rsidRPr="00941610" w:rsidRDefault="00D65D04" w:rsidP="00941610">
            <w:pPr>
              <w:pStyle w:val="a7"/>
              <w:rPr>
                <w:sz w:val="20"/>
                <w:szCs w:val="20"/>
              </w:rPr>
            </w:pPr>
            <w:r w:rsidRPr="00941610">
              <w:rPr>
                <w:sz w:val="20"/>
                <w:szCs w:val="20"/>
              </w:rPr>
              <w:t> </w:t>
            </w:r>
            <w:r w:rsidR="009D48A2" w:rsidRPr="00941610">
              <w:rPr>
                <w:sz w:val="20"/>
                <w:szCs w:val="20"/>
              </w:rPr>
              <w:t>Встановити та/або затвердити уніфіковану форму службового документа (стандартний формуляр службового документа, встановлений відповідно до його функціонального призначення в певній сфері діяльності) – табелю обліку використання робочого часу за запропонованою формою П-5, проаналізувавши доцільність доповнення цієї форми іншими показниками, необхідними для обліку робочого часу в Суді.</w:t>
            </w:r>
          </w:p>
        </w:tc>
        <w:tc>
          <w:tcPr>
            <w:tcW w:w="1620" w:type="pct"/>
            <w:tcBorders>
              <w:top w:val="outset" w:sz="6" w:space="0" w:color="auto"/>
              <w:left w:val="outset" w:sz="6" w:space="0" w:color="auto"/>
              <w:bottom w:val="outset" w:sz="6" w:space="0" w:color="auto"/>
              <w:right w:val="outset" w:sz="6" w:space="0" w:color="auto"/>
            </w:tcBorders>
            <w:hideMark/>
          </w:tcPr>
          <w:p w:rsidR="00D65D04" w:rsidRPr="00941610" w:rsidRDefault="00D65D04" w:rsidP="00941610">
            <w:pPr>
              <w:pStyle w:val="a7"/>
              <w:rPr>
                <w:sz w:val="20"/>
                <w:szCs w:val="20"/>
              </w:rPr>
            </w:pPr>
            <w:r w:rsidRPr="00941610">
              <w:rPr>
                <w:sz w:val="20"/>
                <w:szCs w:val="20"/>
              </w:rPr>
              <w:t> </w:t>
            </w:r>
            <w:r w:rsidR="009D48A2" w:rsidRPr="00941610">
              <w:rPr>
                <w:sz w:val="20"/>
                <w:szCs w:val="20"/>
              </w:rPr>
              <w:t>2022 рік.</w:t>
            </w:r>
            <w:r w:rsidR="009D48A2" w:rsidRPr="00941610">
              <w:rPr>
                <w:sz w:val="20"/>
                <w:szCs w:val="20"/>
              </w:rPr>
              <w:br/>
              <w:t>Відсутність єдиного підходу до заповнення табелю обліку робочого часу.</w:t>
            </w:r>
          </w:p>
        </w:tc>
        <w:tc>
          <w:tcPr>
            <w:tcW w:w="1620" w:type="pct"/>
            <w:tcBorders>
              <w:top w:val="outset" w:sz="6" w:space="0" w:color="auto"/>
              <w:left w:val="outset" w:sz="6" w:space="0" w:color="auto"/>
              <w:bottom w:val="outset" w:sz="6" w:space="0" w:color="auto"/>
              <w:right w:val="outset" w:sz="6" w:space="0" w:color="auto"/>
            </w:tcBorders>
            <w:hideMark/>
          </w:tcPr>
          <w:p w:rsidR="00D65D04" w:rsidRPr="00941610" w:rsidRDefault="00D65D04" w:rsidP="00941610">
            <w:pPr>
              <w:pStyle w:val="a7"/>
              <w:rPr>
                <w:sz w:val="20"/>
                <w:szCs w:val="20"/>
              </w:rPr>
            </w:pPr>
            <w:r w:rsidRPr="00941610">
              <w:rPr>
                <w:sz w:val="20"/>
                <w:szCs w:val="20"/>
              </w:rPr>
              <w:t> </w:t>
            </w:r>
            <w:r w:rsidR="00101BD3" w:rsidRPr="00941610">
              <w:rPr>
                <w:sz w:val="20"/>
                <w:szCs w:val="20"/>
              </w:rPr>
              <w:t xml:space="preserve">Створена власна форма табелю обліку </w:t>
            </w:r>
            <w:proofErr w:type="spellStart"/>
            <w:r w:rsidR="00101BD3" w:rsidRPr="00941610">
              <w:rPr>
                <w:sz w:val="20"/>
                <w:szCs w:val="20"/>
              </w:rPr>
              <w:t>робочго</w:t>
            </w:r>
            <w:proofErr w:type="spellEnd"/>
            <w:r w:rsidR="00101BD3" w:rsidRPr="00941610">
              <w:rPr>
                <w:sz w:val="20"/>
                <w:szCs w:val="20"/>
              </w:rPr>
              <w:t xml:space="preserve"> часу на основі форми П-5 з використання певних особливостей діяльності Конституційного Суду України.</w:t>
            </w:r>
          </w:p>
        </w:tc>
      </w:tr>
      <w:tr w:rsidR="00D65D04" w:rsidTr="00941610">
        <w:trPr>
          <w:tblCellSpacing w:w="22" w:type="dxa"/>
        </w:trPr>
        <w:tc>
          <w:tcPr>
            <w:tcW w:w="1669" w:type="pct"/>
            <w:tcBorders>
              <w:top w:val="outset" w:sz="6" w:space="0" w:color="auto"/>
              <w:left w:val="outset" w:sz="6" w:space="0" w:color="auto"/>
              <w:bottom w:val="outset" w:sz="6" w:space="0" w:color="auto"/>
              <w:right w:val="outset" w:sz="6" w:space="0" w:color="auto"/>
            </w:tcBorders>
            <w:hideMark/>
          </w:tcPr>
          <w:p w:rsidR="00D65D04" w:rsidRPr="00941610" w:rsidRDefault="00D65D04" w:rsidP="00941610">
            <w:pPr>
              <w:pStyle w:val="a7"/>
              <w:rPr>
                <w:sz w:val="20"/>
                <w:szCs w:val="20"/>
              </w:rPr>
            </w:pPr>
            <w:r w:rsidRPr="00941610">
              <w:rPr>
                <w:sz w:val="20"/>
                <w:szCs w:val="20"/>
              </w:rPr>
              <w:t> </w:t>
            </w:r>
            <w:r w:rsidR="009D48A2" w:rsidRPr="00941610">
              <w:rPr>
                <w:sz w:val="20"/>
                <w:szCs w:val="20"/>
              </w:rPr>
              <w:t xml:space="preserve"> Розглянути можливість виокремлення та прямого підпорядкування керівнику державної служби посади Головного спеціаліста з мобілізаційної роботи, як того вимагає пункт 6-7 статті 5 Закону України №3543.</w:t>
            </w:r>
          </w:p>
        </w:tc>
        <w:tc>
          <w:tcPr>
            <w:tcW w:w="1620" w:type="pct"/>
            <w:tcBorders>
              <w:top w:val="outset" w:sz="6" w:space="0" w:color="auto"/>
              <w:left w:val="outset" w:sz="6" w:space="0" w:color="auto"/>
              <w:bottom w:val="outset" w:sz="6" w:space="0" w:color="auto"/>
              <w:right w:val="outset" w:sz="6" w:space="0" w:color="auto"/>
            </w:tcBorders>
            <w:hideMark/>
          </w:tcPr>
          <w:p w:rsidR="00D65D04" w:rsidRPr="00941610" w:rsidRDefault="00A82180" w:rsidP="00941610">
            <w:pPr>
              <w:pStyle w:val="a7"/>
              <w:rPr>
                <w:sz w:val="20"/>
                <w:szCs w:val="20"/>
              </w:rPr>
            </w:pPr>
            <w:r w:rsidRPr="00941610">
              <w:rPr>
                <w:sz w:val="20"/>
                <w:szCs w:val="20"/>
              </w:rPr>
              <w:t>2022 рік.</w:t>
            </w:r>
            <w:r w:rsidR="00D65D04" w:rsidRPr="00941610">
              <w:rPr>
                <w:sz w:val="20"/>
                <w:szCs w:val="20"/>
              </w:rPr>
              <w:t> </w:t>
            </w:r>
            <w:r w:rsidRPr="00941610">
              <w:rPr>
                <w:sz w:val="20"/>
                <w:szCs w:val="20"/>
              </w:rPr>
              <w:br/>
              <w:t>Невідповідність діючому законодавству.</w:t>
            </w:r>
          </w:p>
        </w:tc>
        <w:tc>
          <w:tcPr>
            <w:tcW w:w="1620" w:type="pct"/>
            <w:tcBorders>
              <w:top w:val="outset" w:sz="6" w:space="0" w:color="auto"/>
              <w:left w:val="outset" w:sz="6" w:space="0" w:color="auto"/>
              <w:bottom w:val="outset" w:sz="6" w:space="0" w:color="auto"/>
              <w:right w:val="outset" w:sz="6" w:space="0" w:color="auto"/>
            </w:tcBorders>
            <w:hideMark/>
          </w:tcPr>
          <w:p w:rsidR="00D65D04" w:rsidRPr="00941610" w:rsidRDefault="00D65D04" w:rsidP="00941610">
            <w:pPr>
              <w:pStyle w:val="a7"/>
              <w:rPr>
                <w:sz w:val="20"/>
                <w:szCs w:val="20"/>
              </w:rPr>
            </w:pPr>
            <w:r w:rsidRPr="00941610">
              <w:rPr>
                <w:sz w:val="20"/>
                <w:szCs w:val="20"/>
              </w:rPr>
              <w:t> </w:t>
            </w:r>
            <w:r w:rsidR="00A82180" w:rsidRPr="00941610">
              <w:rPr>
                <w:sz w:val="20"/>
                <w:szCs w:val="20"/>
              </w:rPr>
              <w:t>Під час зміни структури Секретаріату Конституційного Суду України рекомендацію внутрішнього аудиту врахована та відповідно до законодавства головний спеціаліст з мобілізаційної роботи прямо підпорядкований керівнику Секретаріату.</w:t>
            </w:r>
          </w:p>
        </w:tc>
      </w:tr>
    </w:tbl>
    <w:p w:rsidR="00D65D04" w:rsidRPr="00D65D04" w:rsidRDefault="00D65D04" w:rsidP="00585BAD">
      <w:pPr>
        <w:pStyle w:val="a7"/>
        <w:jc w:val="center"/>
        <w:rPr>
          <w:b/>
          <w:color w:val="000000" w:themeColor="text1"/>
        </w:rPr>
      </w:pPr>
      <w:r>
        <w:br w:type="textWrapping" w:clear="all"/>
      </w:r>
      <w:r w:rsidRPr="00D65D04">
        <w:rPr>
          <w:b/>
          <w:color w:val="000000" w:themeColor="text1"/>
        </w:rPr>
        <w:t>IV. Результати внутрішньої оцінки якості внутрішнього аудиту</w:t>
      </w:r>
    </w:p>
    <w:p w:rsidR="00D65D04" w:rsidRDefault="00D65D04" w:rsidP="00D65D04">
      <w:pPr>
        <w:pStyle w:val="a7"/>
        <w:jc w:val="both"/>
      </w:pPr>
      <w:r>
        <w:t>4.1. Загальні підходи до проведення внутрішніх оцінок якості (перелік і реквізити внутрішніх документів, якими визначено питання проведення внутрішніх оцінок якості, визначено періодичність та підхід до їх проведення).</w:t>
      </w:r>
    </w:p>
    <w:p w:rsidR="00165832" w:rsidRDefault="00E76DB5" w:rsidP="00D65D04">
      <w:pPr>
        <w:pStyle w:val="a7"/>
        <w:jc w:val="both"/>
        <w:rPr>
          <w:rFonts w:eastAsiaTheme="minorEastAsia"/>
        </w:rPr>
      </w:pPr>
      <w:r>
        <w:t>Стандарти діяльності з внутрішнього аудиту в Секретаріаті Конституційного Суду України та Автобазі Конституційного Суду України, що затверджені Розпорядженням Голови Конституційного Суду України від 12 березня 2020 року № 15/01/2020-ОД.</w:t>
      </w:r>
    </w:p>
    <w:p w:rsidR="00D65D04" w:rsidRDefault="00D65D04" w:rsidP="00D65D04">
      <w:pPr>
        <w:pStyle w:val="a7"/>
        <w:jc w:val="both"/>
      </w:pPr>
      <w:r>
        <w:t>4.2. Інформація про кількість проведених протягом звітного періоду періодичних оцінок діяльності з внутрішнього аудиту, їх загальні результати (із зазначенням кількості виявлених недоліків) та/або підсумкову оцінку за бальною чи іншою шкалою (у разі, якщо внутрішніми документами з питань внутрішнього аудиту унормовано порядок проведення періодичних оцінок діяльності та визначення підсумкової оцінки (за бальною чи іншою шкалою) за їх результатами).</w:t>
      </w:r>
    </w:p>
    <w:p w:rsidR="00165832" w:rsidRDefault="00165832" w:rsidP="00D65D04">
      <w:pPr>
        <w:pStyle w:val="a7"/>
        <w:jc w:val="both"/>
      </w:pPr>
      <w:r>
        <w:lastRenderedPageBreak/>
        <w:t>Була проведена одна періодична оцінка діяльності з внутрішнього аудиту без визначення підсумкової оцінки за бальною оцінкою (та як відсутня така шкала відповідно до внутрішніх документів). За результатами оцінки отримана оцінка – «добре».</w:t>
      </w:r>
    </w:p>
    <w:p w:rsidR="00D65D04" w:rsidRDefault="00D65D04" w:rsidP="00D65D04">
      <w:pPr>
        <w:pStyle w:val="a7"/>
        <w:jc w:val="both"/>
      </w:pPr>
      <w:r>
        <w:t>4.3. Інформація про наявність програми забезпечення та підвищення якості внутрішнього аудиту (із зазначенням дати її затвердження), зміст визначених заходів (стисло) та стан її виконання (із зазначенням загальної кількості запланованих та кількості фактично виконаних заходів, змісту невиконаних заходів та причин їх невиконання).</w:t>
      </w:r>
    </w:p>
    <w:p w:rsidR="001C00FF" w:rsidRDefault="001C00FF" w:rsidP="001C00FF">
      <w:pPr>
        <w:pStyle w:val="a7"/>
        <w:jc w:val="both"/>
      </w:pPr>
      <w:r>
        <w:t xml:space="preserve">Програма забезпечення та підвищення якості внутрішнього аудиту на 2022 рік </w:t>
      </w:r>
      <w:r w:rsidR="00E76DB5">
        <w:t xml:space="preserve">затверджена 14.02.2022 року </w:t>
      </w:r>
      <w:r>
        <w:t>(далі - Програма) розроблена у відповідності до Стандартів внутрішнього аудиту, затверджених наказом Міністерства фінансів України від 04.10.11 № 1247 (із змінами), зареєстрованим в Міністерстві юстиції України 20.10.11 за № 1219/19957 (далі - Стандартів). Програма враховує положення Порядку здійснення Міністерством фінансів України оцінки функціонування системи внутрішнього аудиту, затвердженого наказом Міністерства фінансів України 03.05.17 № 480, зареєстрованим в Міністерстві юстиції України 24.05.17 за № 663/30531 (далі – Наказ № 480) та розробленого Міністерством фінансів України методичного посібника «Оцінка якості внутрішнього аудиту в державних органах» від 30.06.2020.</w:t>
      </w:r>
    </w:p>
    <w:p w:rsidR="001C00FF" w:rsidRDefault="001C00FF" w:rsidP="001C00FF">
      <w:pPr>
        <w:pStyle w:val="a7"/>
        <w:jc w:val="both"/>
      </w:pPr>
      <w:r>
        <w:t xml:space="preserve">Самооцінка здійснюється Головним спеціалістом та передбачає оцінку якості тих аспектів діяльності внутрішнього аудиту, до реалізації яких він залучався. </w:t>
      </w:r>
    </w:p>
    <w:p w:rsidR="001C00FF" w:rsidRDefault="001C00FF" w:rsidP="001C00FF">
      <w:pPr>
        <w:pStyle w:val="a7"/>
        <w:jc w:val="both"/>
      </w:pPr>
      <w:r>
        <w:t>В ході самооцінки Головний спеціаліст, окрім оцінки власної діяльності з внутрішнього аудиту на відповідність національним Стандартам, оцінює власну професійну компетентність та ретельність порівняно з:</w:t>
      </w:r>
    </w:p>
    <w:p w:rsidR="001C00FF" w:rsidRDefault="001C00FF" w:rsidP="001C00FF">
      <w:pPr>
        <w:pStyle w:val="a7"/>
        <w:jc w:val="both"/>
      </w:pPr>
      <w:r>
        <w:t>- результатами внутрішніх аудитів чи інших контрольних заходів, проведених іншими зовнішніми контролюючими органами;</w:t>
      </w:r>
    </w:p>
    <w:p w:rsidR="001C00FF" w:rsidRDefault="001C00FF" w:rsidP="001C00FF">
      <w:pPr>
        <w:pStyle w:val="a7"/>
        <w:jc w:val="both"/>
      </w:pPr>
      <w:r>
        <w:t>- кращим досвідом у сфері внутрішнього аудиту.</w:t>
      </w:r>
    </w:p>
    <w:p w:rsidR="00C85BA7" w:rsidRDefault="00C85BA7" w:rsidP="001C00FF">
      <w:pPr>
        <w:pStyle w:val="a7"/>
        <w:jc w:val="both"/>
      </w:pPr>
      <w:r>
        <w:t>Зміст визначених заходів:</w:t>
      </w:r>
    </w:p>
    <w:p w:rsidR="00C85BA7" w:rsidRDefault="00C85BA7" w:rsidP="00C85BA7">
      <w:pPr>
        <w:pStyle w:val="a7"/>
        <w:jc w:val="both"/>
      </w:pPr>
      <w:r>
        <w:t>- оцінка стану та якості планування діяльності з внутрішнього аудиту та виконання цих планів. Виконано шляхом створення та заповнення форми по виконанню планів;</w:t>
      </w:r>
    </w:p>
    <w:p w:rsidR="00C85BA7" w:rsidRDefault="00C85BA7" w:rsidP="00C85BA7">
      <w:pPr>
        <w:pStyle w:val="a7"/>
        <w:jc w:val="both"/>
      </w:pPr>
      <w:r>
        <w:t>- аналіз дієвості моніторингу, що здійснюється Головним спеціалістом для забезпечення впровадження рекомендацій, наданих за результатами внутрішніх аудитів;</w:t>
      </w:r>
    </w:p>
    <w:p w:rsidR="00C85BA7" w:rsidRDefault="00C85BA7" w:rsidP="00C85BA7">
      <w:pPr>
        <w:pStyle w:val="a7"/>
        <w:jc w:val="both"/>
      </w:pPr>
      <w:r>
        <w:t>- аналіз завантаженості Головного спеціаліста, контроль за дотриманням термінів виконання аудиторського завдання;</w:t>
      </w:r>
    </w:p>
    <w:p w:rsidR="00C85BA7" w:rsidRDefault="00C85BA7" w:rsidP="00C85BA7">
      <w:pPr>
        <w:pStyle w:val="a7"/>
        <w:jc w:val="both"/>
      </w:pPr>
      <w:r>
        <w:t>- стан взаємодії Головного спеціаліста зі структурними підрозділами Суду та організацією, яка належать до сфери управління Суду (далі - структурні підрозділи та Автобаза Суду).</w:t>
      </w:r>
      <w:r w:rsidR="00F50C65">
        <w:t xml:space="preserve"> Виконується шляхом постійної участі Головного спеціаліста в нарадах, круглих столах та ініціативного включення питань до порядку денного цих нарад питань, що безпосередньо стосується напрямку «внутрішній аудит».</w:t>
      </w:r>
    </w:p>
    <w:p w:rsidR="00585BAD" w:rsidRDefault="00D65D04" w:rsidP="00585BAD">
      <w:pPr>
        <w:pStyle w:val="a7"/>
        <w:spacing w:before="0" w:beforeAutospacing="0"/>
        <w:jc w:val="both"/>
      </w:pPr>
      <w:r>
        <w:t xml:space="preserve">4.4. Упроваджені протягом звітного періоду заходи, спрямовані на підвищення якості та вдосконалення діяльності з внутрішнього аудиту, яких вжито керівником державного органу, аудиторським комітетом (у разі його створення), керівником підрозділу внутрішнього аудиту, </w:t>
      </w:r>
      <w:r>
        <w:lastRenderedPageBreak/>
        <w:t>у тому числі заходи, які передбачено програмою забезпечення та підвищення якості внутрішнього аудиту, за такою формою:</w:t>
      </w:r>
    </w:p>
    <w:p w:rsidR="00D65D04" w:rsidRDefault="00D65D04" w:rsidP="00585BAD">
      <w:pPr>
        <w:pStyle w:val="a7"/>
        <w:spacing w:before="0" w:beforeAutospacing="0"/>
        <w:jc w:val="right"/>
      </w:pPr>
      <w:r>
        <w:rPr>
          <w:i/>
          <w:iCs/>
        </w:rPr>
        <w:t>Таблиця 4.1</w:t>
      </w:r>
    </w:p>
    <w:tbl>
      <w:tblPr>
        <w:tblpPr w:leftFromText="45" w:rightFromText="45" w:vertAnchor="text" w:tblpXSpec="right" w:tblpYSpec="cente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04"/>
        <w:gridCol w:w="2489"/>
        <w:gridCol w:w="2395"/>
        <w:gridCol w:w="2134"/>
      </w:tblGrid>
      <w:tr w:rsidR="00D65D04" w:rsidRPr="00E76DB5" w:rsidTr="00D65D04">
        <w:trPr>
          <w:tblCellSpacing w:w="22" w:type="dxa"/>
        </w:trPr>
        <w:tc>
          <w:tcPr>
            <w:tcW w:w="1350" w:type="pct"/>
            <w:tcBorders>
              <w:top w:val="outset" w:sz="6" w:space="0" w:color="auto"/>
              <w:left w:val="outset" w:sz="6" w:space="0" w:color="auto"/>
              <w:bottom w:val="outset" w:sz="6" w:space="0" w:color="auto"/>
              <w:right w:val="outset" w:sz="6" w:space="0" w:color="auto"/>
            </w:tcBorders>
            <w:hideMark/>
          </w:tcPr>
          <w:p w:rsidR="00D65D04" w:rsidRPr="00E76DB5" w:rsidRDefault="00D65D04">
            <w:pPr>
              <w:pStyle w:val="a7"/>
              <w:jc w:val="center"/>
            </w:pPr>
            <w:r w:rsidRPr="00E76DB5">
              <w:t>Аспекти діяльності з внутрішнього аудиту, які охоплено внутрішніми оцінками якості</w:t>
            </w:r>
          </w:p>
        </w:tc>
        <w:tc>
          <w:tcPr>
            <w:tcW w:w="1300" w:type="pct"/>
            <w:tcBorders>
              <w:top w:val="outset" w:sz="6" w:space="0" w:color="auto"/>
              <w:left w:val="outset" w:sz="6" w:space="0" w:color="auto"/>
              <w:bottom w:val="outset" w:sz="6" w:space="0" w:color="auto"/>
              <w:right w:val="outset" w:sz="6" w:space="0" w:color="auto"/>
            </w:tcBorders>
            <w:hideMark/>
          </w:tcPr>
          <w:p w:rsidR="00D65D04" w:rsidRPr="00E76DB5" w:rsidRDefault="00D65D04">
            <w:pPr>
              <w:pStyle w:val="a7"/>
              <w:jc w:val="center"/>
            </w:pPr>
            <w:r w:rsidRPr="00E76DB5">
              <w:t>Суть основних недоліків/проблем, виявлених за результатами внутрішніх оцінок якості</w:t>
            </w:r>
          </w:p>
        </w:tc>
        <w:tc>
          <w:tcPr>
            <w:tcW w:w="1250" w:type="pct"/>
            <w:tcBorders>
              <w:top w:val="outset" w:sz="6" w:space="0" w:color="auto"/>
              <w:left w:val="outset" w:sz="6" w:space="0" w:color="auto"/>
              <w:bottom w:val="outset" w:sz="6" w:space="0" w:color="auto"/>
              <w:right w:val="outset" w:sz="6" w:space="0" w:color="auto"/>
            </w:tcBorders>
            <w:hideMark/>
          </w:tcPr>
          <w:p w:rsidR="00D65D04" w:rsidRPr="00E76DB5" w:rsidRDefault="00D65D04">
            <w:pPr>
              <w:pStyle w:val="a7"/>
              <w:jc w:val="center"/>
            </w:pPr>
            <w:r w:rsidRPr="00E76DB5">
              <w:t>Спосіб виявлення недоліків/проблем (постійний моніторинг та/або періодичні оцінки)</w:t>
            </w:r>
          </w:p>
        </w:tc>
        <w:tc>
          <w:tcPr>
            <w:tcW w:w="1100" w:type="pct"/>
            <w:tcBorders>
              <w:top w:val="outset" w:sz="6" w:space="0" w:color="auto"/>
              <w:left w:val="outset" w:sz="6" w:space="0" w:color="auto"/>
              <w:bottom w:val="outset" w:sz="6" w:space="0" w:color="auto"/>
              <w:right w:val="outset" w:sz="6" w:space="0" w:color="auto"/>
            </w:tcBorders>
            <w:hideMark/>
          </w:tcPr>
          <w:p w:rsidR="00D65D04" w:rsidRPr="00E76DB5" w:rsidRDefault="00D65D04">
            <w:pPr>
              <w:pStyle w:val="a7"/>
              <w:jc w:val="center"/>
            </w:pPr>
            <w:r w:rsidRPr="00E76DB5">
              <w:t>Вжиті заходи для усунення виявлених проблем/недоліків</w:t>
            </w:r>
          </w:p>
        </w:tc>
      </w:tr>
      <w:tr w:rsidR="00D65D04" w:rsidRPr="00E76DB5" w:rsidTr="00D65D04">
        <w:trPr>
          <w:tblCellSpacing w:w="22" w:type="dxa"/>
        </w:trPr>
        <w:tc>
          <w:tcPr>
            <w:tcW w:w="1350" w:type="pct"/>
            <w:tcBorders>
              <w:top w:val="outset" w:sz="6" w:space="0" w:color="auto"/>
              <w:left w:val="outset" w:sz="6" w:space="0" w:color="auto"/>
              <w:bottom w:val="outset" w:sz="6" w:space="0" w:color="auto"/>
              <w:right w:val="outset" w:sz="6" w:space="0" w:color="auto"/>
            </w:tcBorders>
            <w:hideMark/>
          </w:tcPr>
          <w:p w:rsidR="00D65D04" w:rsidRPr="00E76DB5" w:rsidRDefault="00D65D04">
            <w:pPr>
              <w:pStyle w:val="a7"/>
              <w:jc w:val="center"/>
            </w:pPr>
            <w:r w:rsidRPr="00E76DB5">
              <w:t>1</w:t>
            </w:r>
          </w:p>
        </w:tc>
        <w:tc>
          <w:tcPr>
            <w:tcW w:w="1300" w:type="pct"/>
            <w:tcBorders>
              <w:top w:val="outset" w:sz="6" w:space="0" w:color="auto"/>
              <w:left w:val="outset" w:sz="6" w:space="0" w:color="auto"/>
              <w:bottom w:val="outset" w:sz="6" w:space="0" w:color="auto"/>
              <w:right w:val="outset" w:sz="6" w:space="0" w:color="auto"/>
            </w:tcBorders>
            <w:hideMark/>
          </w:tcPr>
          <w:p w:rsidR="00D65D04" w:rsidRPr="00E76DB5" w:rsidRDefault="00D65D04">
            <w:pPr>
              <w:pStyle w:val="a7"/>
              <w:jc w:val="center"/>
            </w:pPr>
            <w:r w:rsidRPr="00E76DB5">
              <w:t>2</w:t>
            </w:r>
          </w:p>
        </w:tc>
        <w:tc>
          <w:tcPr>
            <w:tcW w:w="1250" w:type="pct"/>
            <w:tcBorders>
              <w:top w:val="outset" w:sz="6" w:space="0" w:color="auto"/>
              <w:left w:val="outset" w:sz="6" w:space="0" w:color="auto"/>
              <w:bottom w:val="outset" w:sz="6" w:space="0" w:color="auto"/>
              <w:right w:val="outset" w:sz="6" w:space="0" w:color="auto"/>
            </w:tcBorders>
            <w:hideMark/>
          </w:tcPr>
          <w:p w:rsidR="00D65D04" w:rsidRPr="00E76DB5" w:rsidRDefault="00D65D04">
            <w:pPr>
              <w:pStyle w:val="a7"/>
              <w:jc w:val="center"/>
            </w:pPr>
            <w:r w:rsidRPr="00E76DB5">
              <w:t>3</w:t>
            </w:r>
          </w:p>
        </w:tc>
        <w:tc>
          <w:tcPr>
            <w:tcW w:w="1100" w:type="pct"/>
            <w:tcBorders>
              <w:top w:val="outset" w:sz="6" w:space="0" w:color="auto"/>
              <w:left w:val="outset" w:sz="6" w:space="0" w:color="auto"/>
              <w:bottom w:val="outset" w:sz="6" w:space="0" w:color="auto"/>
              <w:right w:val="outset" w:sz="6" w:space="0" w:color="auto"/>
            </w:tcBorders>
            <w:hideMark/>
          </w:tcPr>
          <w:p w:rsidR="00D65D04" w:rsidRPr="00E76DB5" w:rsidRDefault="00D65D04">
            <w:pPr>
              <w:pStyle w:val="a7"/>
              <w:jc w:val="center"/>
            </w:pPr>
            <w:r w:rsidRPr="00E76DB5">
              <w:t>4</w:t>
            </w:r>
          </w:p>
        </w:tc>
      </w:tr>
      <w:tr w:rsidR="00D65D04" w:rsidRPr="00E76DB5" w:rsidTr="00D65D04">
        <w:trPr>
          <w:tblCellSpacing w:w="22" w:type="dxa"/>
        </w:trPr>
        <w:tc>
          <w:tcPr>
            <w:tcW w:w="1350" w:type="pct"/>
            <w:tcBorders>
              <w:top w:val="outset" w:sz="6" w:space="0" w:color="auto"/>
              <w:left w:val="outset" w:sz="6" w:space="0" w:color="auto"/>
              <w:bottom w:val="outset" w:sz="6" w:space="0" w:color="auto"/>
              <w:right w:val="outset" w:sz="6" w:space="0" w:color="auto"/>
            </w:tcBorders>
            <w:hideMark/>
          </w:tcPr>
          <w:p w:rsidR="00D65D04" w:rsidRPr="00E76DB5" w:rsidRDefault="00941610">
            <w:pPr>
              <w:pStyle w:val="a7"/>
            </w:pPr>
            <w:r w:rsidRPr="00E76DB5">
              <w:t>Аспект 7 «Реалізація результатів внутрішніх аудитів, моніторинг врахування рекомендацій та результатів їх впровадження»</w:t>
            </w:r>
          </w:p>
        </w:tc>
        <w:tc>
          <w:tcPr>
            <w:tcW w:w="1300" w:type="pct"/>
            <w:tcBorders>
              <w:top w:val="outset" w:sz="6" w:space="0" w:color="auto"/>
              <w:left w:val="outset" w:sz="6" w:space="0" w:color="auto"/>
              <w:bottom w:val="outset" w:sz="6" w:space="0" w:color="auto"/>
              <w:right w:val="outset" w:sz="6" w:space="0" w:color="auto"/>
            </w:tcBorders>
            <w:hideMark/>
          </w:tcPr>
          <w:p w:rsidR="00D65D04" w:rsidRPr="00E76DB5" w:rsidRDefault="00D65D04">
            <w:pPr>
              <w:pStyle w:val="a7"/>
            </w:pPr>
            <w:r w:rsidRPr="00E76DB5">
              <w:t> </w:t>
            </w:r>
            <w:r w:rsidR="00941610" w:rsidRPr="00E76DB5">
              <w:t>Відсутня єдина форма для моніторингу результатів впровадження рекомендацій за результатами аудиту</w:t>
            </w:r>
          </w:p>
        </w:tc>
        <w:tc>
          <w:tcPr>
            <w:tcW w:w="1250" w:type="pct"/>
            <w:tcBorders>
              <w:top w:val="outset" w:sz="6" w:space="0" w:color="auto"/>
              <w:left w:val="outset" w:sz="6" w:space="0" w:color="auto"/>
              <w:bottom w:val="outset" w:sz="6" w:space="0" w:color="auto"/>
              <w:right w:val="outset" w:sz="6" w:space="0" w:color="auto"/>
            </w:tcBorders>
            <w:hideMark/>
          </w:tcPr>
          <w:p w:rsidR="00D65D04" w:rsidRPr="00E76DB5" w:rsidRDefault="00D65D04">
            <w:pPr>
              <w:pStyle w:val="a7"/>
            </w:pPr>
            <w:r w:rsidRPr="00E76DB5">
              <w:t> </w:t>
            </w:r>
            <w:r w:rsidR="00941610" w:rsidRPr="00E76DB5">
              <w:t>Періодична оцінка</w:t>
            </w:r>
          </w:p>
        </w:tc>
        <w:tc>
          <w:tcPr>
            <w:tcW w:w="1100" w:type="pct"/>
            <w:tcBorders>
              <w:top w:val="outset" w:sz="6" w:space="0" w:color="auto"/>
              <w:left w:val="outset" w:sz="6" w:space="0" w:color="auto"/>
              <w:bottom w:val="outset" w:sz="6" w:space="0" w:color="auto"/>
              <w:right w:val="outset" w:sz="6" w:space="0" w:color="auto"/>
            </w:tcBorders>
            <w:hideMark/>
          </w:tcPr>
          <w:p w:rsidR="00D65D04" w:rsidRPr="00E76DB5" w:rsidRDefault="00D65D04">
            <w:pPr>
              <w:pStyle w:val="a7"/>
            </w:pPr>
            <w:r w:rsidRPr="00E76DB5">
              <w:t> </w:t>
            </w:r>
            <w:r w:rsidR="00941610" w:rsidRPr="00E76DB5">
              <w:t>Утворена єдина форма моніторингу впровадження рекомендацій, як того вимагають Стандарти внутрішнього аудиту</w:t>
            </w:r>
          </w:p>
        </w:tc>
      </w:tr>
      <w:tr w:rsidR="00D65D04" w:rsidRPr="00E76DB5" w:rsidTr="00D65D04">
        <w:trPr>
          <w:tblCellSpacing w:w="22" w:type="dxa"/>
        </w:trPr>
        <w:tc>
          <w:tcPr>
            <w:tcW w:w="1350" w:type="pct"/>
            <w:tcBorders>
              <w:top w:val="outset" w:sz="6" w:space="0" w:color="auto"/>
              <w:left w:val="outset" w:sz="6" w:space="0" w:color="auto"/>
              <w:bottom w:val="outset" w:sz="6" w:space="0" w:color="auto"/>
              <w:right w:val="outset" w:sz="6" w:space="0" w:color="auto"/>
            </w:tcBorders>
            <w:hideMark/>
          </w:tcPr>
          <w:p w:rsidR="00D65D04" w:rsidRPr="00E76DB5" w:rsidRDefault="00D65D04" w:rsidP="00941610">
            <w:pPr>
              <w:pStyle w:val="a7"/>
            </w:pPr>
            <w:r w:rsidRPr="00E76DB5">
              <w:t> </w:t>
            </w:r>
            <w:r w:rsidR="00941610" w:rsidRPr="00E76DB5">
              <w:t xml:space="preserve">  Аспект 10 «Заходи із забезпечення та підвищення якості внутрішнього аудиту»</w:t>
            </w:r>
          </w:p>
        </w:tc>
        <w:tc>
          <w:tcPr>
            <w:tcW w:w="1300" w:type="pct"/>
            <w:tcBorders>
              <w:top w:val="outset" w:sz="6" w:space="0" w:color="auto"/>
              <w:left w:val="outset" w:sz="6" w:space="0" w:color="auto"/>
              <w:bottom w:val="outset" w:sz="6" w:space="0" w:color="auto"/>
              <w:right w:val="outset" w:sz="6" w:space="0" w:color="auto"/>
            </w:tcBorders>
            <w:hideMark/>
          </w:tcPr>
          <w:p w:rsidR="00D65D04" w:rsidRPr="00E76DB5" w:rsidRDefault="00D65D04">
            <w:pPr>
              <w:pStyle w:val="a7"/>
            </w:pPr>
            <w:r w:rsidRPr="00E76DB5">
              <w:t> </w:t>
            </w:r>
            <w:r w:rsidR="00941610" w:rsidRPr="00E76DB5">
              <w:t>Не проводилось підвищення кваліфікації за короткостроковими та іншими програмами за напрямом діяльності</w:t>
            </w:r>
          </w:p>
        </w:tc>
        <w:tc>
          <w:tcPr>
            <w:tcW w:w="1250" w:type="pct"/>
            <w:tcBorders>
              <w:top w:val="outset" w:sz="6" w:space="0" w:color="auto"/>
              <w:left w:val="outset" w:sz="6" w:space="0" w:color="auto"/>
              <w:bottom w:val="outset" w:sz="6" w:space="0" w:color="auto"/>
              <w:right w:val="outset" w:sz="6" w:space="0" w:color="auto"/>
            </w:tcBorders>
            <w:hideMark/>
          </w:tcPr>
          <w:p w:rsidR="00D65D04" w:rsidRPr="00E76DB5" w:rsidRDefault="00D65D04">
            <w:pPr>
              <w:pStyle w:val="a7"/>
            </w:pPr>
            <w:r w:rsidRPr="00E76DB5">
              <w:t> </w:t>
            </w:r>
            <w:r w:rsidR="00941610" w:rsidRPr="00E76DB5">
              <w:t>Періодична оцінка</w:t>
            </w:r>
          </w:p>
        </w:tc>
        <w:tc>
          <w:tcPr>
            <w:tcW w:w="1100" w:type="pct"/>
            <w:tcBorders>
              <w:top w:val="outset" w:sz="6" w:space="0" w:color="auto"/>
              <w:left w:val="outset" w:sz="6" w:space="0" w:color="auto"/>
              <w:bottom w:val="outset" w:sz="6" w:space="0" w:color="auto"/>
              <w:right w:val="outset" w:sz="6" w:space="0" w:color="auto"/>
            </w:tcBorders>
            <w:hideMark/>
          </w:tcPr>
          <w:p w:rsidR="00D65D04" w:rsidRPr="00E76DB5" w:rsidRDefault="00D65D04">
            <w:pPr>
              <w:pStyle w:val="a7"/>
            </w:pPr>
            <w:r w:rsidRPr="00E76DB5">
              <w:t> </w:t>
            </w:r>
            <w:r w:rsidR="00941610" w:rsidRPr="00E76DB5">
              <w:t>Прийнято участь у Базові курсі з внутрішнього аудиту, що проводилось Міністерством фінансів України</w:t>
            </w:r>
          </w:p>
        </w:tc>
      </w:tr>
    </w:tbl>
    <w:tbl>
      <w:tblPr>
        <w:tblW w:w="5008" w:type="pct"/>
        <w:jc w:val="right"/>
        <w:tblCellSpacing w:w="22" w:type="dxa"/>
        <w:tblCellMar>
          <w:top w:w="60" w:type="dxa"/>
          <w:left w:w="60" w:type="dxa"/>
          <w:bottom w:w="60" w:type="dxa"/>
          <w:right w:w="60" w:type="dxa"/>
        </w:tblCellMar>
        <w:tblLook w:val="04A0" w:firstRow="1" w:lastRow="0" w:firstColumn="1" w:lastColumn="0" w:noHBand="0" w:noVBand="1"/>
      </w:tblPr>
      <w:tblGrid>
        <w:gridCol w:w="3860"/>
        <w:gridCol w:w="2696"/>
        <w:gridCol w:w="3097"/>
      </w:tblGrid>
      <w:tr w:rsidR="00D65D04" w:rsidTr="00941610">
        <w:trPr>
          <w:trHeight w:val="797"/>
          <w:tblCellSpacing w:w="22" w:type="dxa"/>
          <w:jc w:val="right"/>
        </w:trPr>
        <w:tc>
          <w:tcPr>
            <w:tcW w:w="1965" w:type="pct"/>
            <w:hideMark/>
          </w:tcPr>
          <w:p w:rsidR="00941610" w:rsidRDefault="00941610" w:rsidP="00941610">
            <w:pPr>
              <w:pStyle w:val="a7"/>
              <w:spacing w:before="0" w:beforeAutospacing="0" w:after="0" w:afterAutospacing="0"/>
              <w:rPr>
                <w:sz w:val="20"/>
                <w:szCs w:val="20"/>
              </w:rPr>
            </w:pPr>
          </w:p>
          <w:p w:rsidR="00941610" w:rsidRDefault="00941610" w:rsidP="00941610">
            <w:pPr>
              <w:pStyle w:val="a7"/>
              <w:spacing w:before="0" w:beforeAutospacing="0" w:after="0" w:afterAutospacing="0"/>
              <w:rPr>
                <w:sz w:val="20"/>
                <w:szCs w:val="20"/>
              </w:rPr>
            </w:pPr>
          </w:p>
          <w:p w:rsidR="00941610" w:rsidRDefault="00705833" w:rsidP="00941610">
            <w:pPr>
              <w:pStyle w:val="a7"/>
              <w:spacing w:before="0" w:beforeAutospacing="0" w:after="0" w:afterAutospacing="0"/>
              <w:rPr>
                <w:sz w:val="20"/>
                <w:szCs w:val="20"/>
              </w:rPr>
            </w:pPr>
            <w:r>
              <w:rPr>
                <w:sz w:val="20"/>
                <w:szCs w:val="20"/>
              </w:rPr>
              <w:t>Керівник Секретаріату</w:t>
            </w:r>
            <w:r w:rsidR="00941610">
              <w:rPr>
                <w:sz w:val="20"/>
                <w:szCs w:val="20"/>
              </w:rPr>
              <w:t xml:space="preserve"> </w:t>
            </w:r>
          </w:p>
          <w:p w:rsidR="00D65D04" w:rsidRPr="00941610" w:rsidRDefault="00941610" w:rsidP="00941610">
            <w:pPr>
              <w:pStyle w:val="a7"/>
              <w:spacing w:before="0" w:beforeAutospacing="0" w:after="0" w:afterAutospacing="0"/>
              <w:rPr>
                <w:sz w:val="20"/>
                <w:szCs w:val="20"/>
              </w:rPr>
            </w:pPr>
            <w:r>
              <w:rPr>
                <w:sz w:val="20"/>
                <w:szCs w:val="20"/>
              </w:rPr>
              <w:t>Конституційного Суду України</w:t>
            </w:r>
            <w:r w:rsidR="00D65D04" w:rsidRPr="00941610">
              <w:rPr>
                <w:sz w:val="20"/>
                <w:szCs w:val="20"/>
              </w:rPr>
              <w:br/>
              <w:t>           (посада)</w:t>
            </w:r>
          </w:p>
        </w:tc>
        <w:tc>
          <w:tcPr>
            <w:tcW w:w="1374" w:type="pct"/>
            <w:vAlign w:val="bottom"/>
            <w:hideMark/>
          </w:tcPr>
          <w:p w:rsidR="00D65D04" w:rsidRPr="00585BAD" w:rsidRDefault="00D65D04">
            <w:pPr>
              <w:pStyle w:val="a7"/>
              <w:jc w:val="center"/>
              <w:rPr>
                <w:sz w:val="18"/>
              </w:rPr>
            </w:pPr>
            <w:r w:rsidRPr="00585BAD">
              <w:rPr>
                <w:sz w:val="18"/>
              </w:rPr>
              <w:t>____________</w:t>
            </w:r>
            <w:r w:rsidRPr="00585BAD">
              <w:rPr>
                <w:sz w:val="18"/>
              </w:rPr>
              <w:br/>
            </w:r>
            <w:r w:rsidRPr="00585BAD">
              <w:rPr>
                <w:sz w:val="18"/>
                <w:szCs w:val="20"/>
              </w:rPr>
              <w:t>(підпис)</w:t>
            </w:r>
          </w:p>
        </w:tc>
        <w:tc>
          <w:tcPr>
            <w:tcW w:w="1570" w:type="pct"/>
            <w:vAlign w:val="bottom"/>
            <w:hideMark/>
          </w:tcPr>
          <w:p w:rsidR="00D65D04" w:rsidRPr="00585BAD" w:rsidRDefault="00705833" w:rsidP="007768FC">
            <w:pPr>
              <w:pStyle w:val="a7"/>
              <w:jc w:val="center"/>
              <w:rPr>
                <w:sz w:val="18"/>
              </w:rPr>
            </w:pPr>
            <w:proofErr w:type="spellStart"/>
            <w:r>
              <w:rPr>
                <w:sz w:val="20"/>
                <w:szCs w:val="20"/>
                <w:u w:val="single"/>
                <w:lang w:val="ru-RU"/>
              </w:rPr>
              <w:t>Віктор</w:t>
            </w:r>
            <w:proofErr w:type="spellEnd"/>
            <w:r>
              <w:rPr>
                <w:sz w:val="20"/>
                <w:szCs w:val="20"/>
                <w:u w:val="single"/>
                <w:lang w:val="ru-RU"/>
              </w:rPr>
              <w:t xml:space="preserve"> БЕСЧАСТНИЙ</w:t>
            </w:r>
            <w:r w:rsidR="00D65D04" w:rsidRPr="00585BAD">
              <w:rPr>
                <w:sz w:val="18"/>
              </w:rPr>
              <w:br/>
            </w:r>
            <w:r w:rsidR="00D65D04" w:rsidRPr="007768FC">
              <w:rPr>
                <w:sz w:val="16"/>
                <w:szCs w:val="16"/>
              </w:rPr>
              <w:t>(Власне ім'я ПРІЗВИЩЕ)</w:t>
            </w:r>
          </w:p>
        </w:tc>
      </w:tr>
      <w:tr w:rsidR="00D65D04" w:rsidTr="00941610">
        <w:trPr>
          <w:trHeight w:val="1015"/>
          <w:tblCellSpacing w:w="22" w:type="dxa"/>
          <w:jc w:val="right"/>
        </w:trPr>
        <w:tc>
          <w:tcPr>
            <w:tcW w:w="1965" w:type="pct"/>
            <w:hideMark/>
          </w:tcPr>
          <w:p w:rsidR="007768FC" w:rsidRDefault="007768FC">
            <w:pPr>
              <w:pStyle w:val="a7"/>
              <w:rPr>
                <w:sz w:val="18"/>
              </w:rPr>
            </w:pPr>
          </w:p>
          <w:p w:rsidR="00D65D04" w:rsidRPr="00941610" w:rsidRDefault="007768FC">
            <w:pPr>
              <w:pStyle w:val="a7"/>
              <w:rPr>
                <w:sz w:val="20"/>
                <w:szCs w:val="20"/>
              </w:rPr>
            </w:pPr>
            <w:r w:rsidRPr="00941610">
              <w:rPr>
                <w:sz w:val="20"/>
                <w:szCs w:val="20"/>
              </w:rPr>
              <w:t>Головний спеціаліст з</w:t>
            </w:r>
            <w:r w:rsidR="00D65D04" w:rsidRPr="00941610">
              <w:rPr>
                <w:sz w:val="20"/>
                <w:szCs w:val="20"/>
              </w:rPr>
              <w:br/>
              <w:t>внутрішнього аудиту</w:t>
            </w:r>
            <w:r w:rsidR="00D65D04" w:rsidRPr="00941610">
              <w:rPr>
                <w:sz w:val="20"/>
                <w:szCs w:val="20"/>
              </w:rPr>
              <w:br/>
              <w:t>           (посада)</w:t>
            </w:r>
          </w:p>
        </w:tc>
        <w:tc>
          <w:tcPr>
            <w:tcW w:w="1374" w:type="pct"/>
            <w:vAlign w:val="bottom"/>
            <w:hideMark/>
          </w:tcPr>
          <w:p w:rsidR="00D65D04" w:rsidRPr="00585BAD" w:rsidRDefault="00D65D04" w:rsidP="00585BAD">
            <w:pPr>
              <w:pStyle w:val="a7"/>
              <w:jc w:val="center"/>
              <w:rPr>
                <w:sz w:val="18"/>
              </w:rPr>
            </w:pPr>
            <w:r w:rsidRPr="00585BAD">
              <w:rPr>
                <w:sz w:val="18"/>
              </w:rPr>
              <w:t>____________</w:t>
            </w:r>
            <w:r w:rsidRPr="00585BAD">
              <w:rPr>
                <w:sz w:val="18"/>
              </w:rPr>
              <w:br/>
            </w:r>
            <w:r w:rsidRPr="00585BAD">
              <w:rPr>
                <w:sz w:val="18"/>
                <w:szCs w:val="20"/>
              </w:rPr>
              <w:t>(</w:t>
            </w:r>
            <w:proofErr w:type="spellStart"/>
            <w:r w:rsidRPr="00585BAD">
              <w:rPr>
                <w:sz w:val="18"/>
                <w:szCs w:val="20"/>
              </w:rPr>
              <w:t>пдпис</w:t>
            </w:r>
            <w:proofErr w:type="spellEnd"/>
            <w:r w:rsidRPr="00585BAD">
              <w:rPr>
                <w:sz w:val="18"/>
                <w:szCs w:val="20"/>
              </w:rPr>
              <w:t>)</w:t>
            </w:r>
          </w:p>
        </w:tc>
        <w:tc>
          <w:tcPr>
            <w:tcW w:w="1570" w:type="pct"/>
            <w:hideMark/>
          </w:tcPr>
          <w:p w:rsidR="007768FC" w:rsidRDefault="007768FC" w:rsidP="007768FC">
            <w:pPr>
              <w:pStyle w:val="a7"/>
              <w:jc w:val="center"/>
              <w:rPr>
                <w:sz w:val="18"/>
              </w:rPr>
            </w:pPr>
          </w:p>
          <w:p w:rsidR="00D65D04" w:rsidRPr="00585BAD" w:rsidRDefault="007768FC" w:rsidP="007768FC">
            <w:pPr>
              <w:pStyle w:val="a7"/>
              <w:jc w:val="center"/>
              <w:rPr>
                <w:sz w:val="18"/>
              </w:rPr>
            </w:pPr>
            <w:r w:rsidRPr="007768FC">
              <w:rPr>
                <w:sz w:val="20"/>
                <w:szCs w:val="20"/>
                <w:u w:val="single"/>
              </w:rPr>
              <w:t>Юрій ГРИЦЕНКО</w:t>
            </w:r>
            <w:r w:rsidR="00D65D04" w:rsidRPr="00585BAD">
              <w:rPr>
                <w:sz w:val="18"/>
              </w:rPr>
              <w:br/>
            </w:r>
            <w:r w:rsidR="00D65D04" w:rsidRPr="007768FC">
              <w:rPr>
                <w:sz w:val="16"/>
                <w:szCs w:val="16"/>
              </w:rPr>
              <w:t>(Власне ім'я ПРІЗВИЩЕ)</w:t>
            </w:r>
          </w:p>
        </w:tc>
      </w:tr>
    </w:tbl>
    <w:p w:rsidR="002D0394" w:rsidRPr="00D65D04" w:rsidRDefault="002D0394" w:rsidP="00585BAD">
      <w:pPr>
        <w:jc w:val="both"/>
      </w:pPr>
      <w:bookmarkStart w:id="0" w:name="_GoBack"/>
      <w:bookmarkEnd w:id="0"/>
    </w:p>
    <w:sectPr w:rsidR="002D0394" w:rsidRPr="00D65D04" w:rsidSect="003E4FC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7C03"/>
    <w:multiLevelType w:val="multilevel"/>
    <w:tmpl w:val="A09603D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031284D"/>
    <w:multiLevelType w:val="multilevel"/>
    <w:tmpl w:val="9A00739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D2503A"/>
    <w:multiLevelType w:val="multilevel"/>
    <w:tmpl w:val="1BA633C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
      </w:rPr>
    </w:lvl>
    <w:lvl w:ilvl="1">
      <w:start w:val="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2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FD6334"/>
    <w:multiLevelType w:val="multilevel"/>
    <w:tmpl w:val="387EC01E"/>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rPr>
    </w:lvl>
    <w:lvl w:ilvl="1">
      <w:start w:val="2"/>
      <w:numFmt w:val="decimal"/>
      <w:lvlText w:val="%2."/>
      <w:lvlJc w:val="left"/>
      <w:pPr>
        <w:ind w:left="0" w:firstLine="0"/>
      </w:pPr>
      <w:rPr>
        <w:rFonts w:ascii="Times New Roman" w:eastAsia="Times New Roman" w:hAnsi="Times New Roman" w:cs="Times New Roman"/>
        <w:b w:val="0"/>
        <w:bCs w:val="0"/>
        <w:i/>
        <w:iCs/>
        <w:smallCaps w:val="0"/>
        <w:strike w:val="0"/>
        <w:dstrike w:val="0"/>
        <w:color w:val="000000"/>
        <w:spacing w:val="3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A3E5565"/>
    <w:multiLevelType w:val="multilevel"/>
    <w:tmpl w:val="4A809882"/>
    <w:lvl w:ilvl="0">
      <w:start w:val="4"/>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2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844196D"/>
    <w:multiLevelType w:val="multilevel"/>
    <w:tmpl w:val="9A00739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lvlOverride w:ilvl="0"/>
    <w:lvlOverride w:ilvl="1">
      <w:startOverride w:val="2"/>
    </w:lvlOverride>
    <w:lvlOverride w:ilvl="2"/>
    <w:lvlOverride w:ilvl="3"/>
    <w:lvlOverride w:ilvl="4"/>
    <w:lvlOverride w:ilvl="5"/>
    <w:lvlOverride w:ilvl="6"/>
    <w:lvlOverride w:ilvl="7"/>
    <w:lvlOverride w:ilvl="8"/>
  </w:num>
  <w:num w:numId="6">
    <w:abstractNumId w:val="4"/>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5B"/>
    <w:rsid w:val="000556B2"/>
    <w:rsid w:val="00061CA5"/>
    <w:rsid w:val="0006496C"/>
    <w:rsid w:val="000A190B"/>
    <w:rsid w:val="000A472B"/>
    <w:rsid w:val="000A5A11"/>
    <w:rsid w:val="000B654C"/>
    <w:rsid w:val="000E319D"/>
    <w:rsid w:val="00101BD3"/>
    <w:rsid w:val="001209FC"/>
    <w:rsid w:val="0012298F"/>
    <w:rsid w:val="00125BF8"/>
    <w:rsid w:val="00126D33"/>
    <w:rsid w:val="001309FC"/>
    <w:rsid w:val="00137A95"/>
    <w:rsid w:val="0015592A"/>
    <w:rsid w:val="00165832"/>
    <w:rsid w:val="001673E2"/>
    <w:rsid w:val="00175357"/>
    <w:rsid w:val="00186D1E"/>
    <w:rsid w:val="001917D9"/>
    <w:rsid w:val="001A2216"/>
    <w:rsid w:val="001C00FF"/>
    <w:rsid w:val="001C1EA1"/>
    <w:rsid w:val="001C599C"/>
    <w:rsid w:val="001D2637"/>
    <w:rsid w:val="001D7097"/>
    <w:rsid w:val="001E155A"/>
    <w:rsid w:val="00211147"/>
    <w:rsid w:val="0021499D"/>
    <w:rsid w:val="0022427E"/>
    <w:rsid w:val="0022605E"/>
    <w:rsid w:val="00232F30"/>
    <w:rsid w:val="0025733C"/>
    <w:rsid w:val="00284F88"/>
    <w:rsid w:val="00285270"/>
    <w:rsid w:val="002929E5"/>
    <w:rsid w:val="00293593"/>
    <w:rsid w:val="002A7BEE"/>
    <w:rsid w:val="002B2837"/>
    <w:rsid w:val="002B7CB2"/>
    <w:rsid w:val="002C6D04"/>
    <w:rsid w:val="002D0394"/>
    <w:rsid w:val="002E7F1C"/>
    <w:rsid w:val="002F277F"/>
    <w:rsid w:val="002F5E96"/>
    <w:rsid w:val="003043E3"/>
    <w:rsid w:val="00304B72"/>
    <w:rsid w:val="00333197"/>
    <w:rsid w:val="0033572E"/>
    <w:rsid w:val="00347D7B"/>
    <w:rsid w:val="00356E67"/>
    <w:rsid w:val="00382095"/>
    <w:rsid w:val="00383EA4"/>
    <w:rsid w:val="00387DEB"/>
    <w:rsid w:val="00396AAF"/>
    <w:rsid w:val="003A2A78"/>
    <w:rsid w:val="003D194C"/>
    <w:rsid w:val="003D615D"/>
    <w:rsid w:val="003E4FC8"/>
    <w:rsid w:val="003F3295"/>
    <w:rsid w:val="003F79EB"/>
    <w:rsid w:val="0041179B"/>
    <w:rsid w:val="0042183D"/>
    <w:rsid w:val="0044429F"/>
    <w:rsid w:val="00447E96"/>
    <w:rsid w:val="00460C96"/>
    <w:rsid w:val="00466C06"/>
    <w:rsid w:val="004745EF"/>
    <w:rsid w:val="0048798C"/>
    <w:rsid w:val="004B46F6"/>
    <w:rsid w:val="004E4E9C"/>
    <w:rsid w:val="004F7667"/>
    <w:rsid w:val="00507450"/>
    <w:rsid w:val="0052561F"/>
    <w:rsid w:val="005406A0"/>
    <w:rsid w:val="0054145B"/>
    <w:rsid w:val="00547282"/>
    <w:rsid w:val="00570C11"/>
    <w:rsid w:val="00577264"/>
    <w:rsid w:val="00585BAD"/>
    <w:rsid w:val="0059153A"/>
    <w:rsid w:val="00592EDD"/>
    <w:rsid w:val="005A45FC"/>
    <w:rsid w:val="005B593D"/>
    <w:rsid w:val="005D1635"/>
    <w:rsid w:val="005D7F3B"/>
    <w:rsid w:val="005E6869"/>
    <w:rsid w:val="005F2853"/>
    <w:rsid w:val="00624CCD"/>
    <w:rsid w:val="006418F1"/>
    <w:rsid w:val="00644099"/>
    <w:rsid w:val="00686B6F"/>
    <w:rsid w:val="00697EF5"/>
    <w:rsid w:val="006B2012"/>
    <w:rsid w:val="006E7DD4"/>
    <w:rsid w:val="00705833"/>
    <w:rsid w:val="00741D6C"/>
    <w:rsid w:val="0077378F"/>
    <w:rsid w:val="007768FC"/>
    <w:rsid w:val="00792A8A"/>
    <w:rsid w:val="007B274B"/>
    <w:rsid w:val="007D063C"/>
    <w:rsid w:val="007E4ACC"/>
    <w:rsid w:val="00815633"/>
    <w:rsid w:val="00855032"/>
    <w:rsid w:val="00866222"/>
    <w:rsid w:val="00880376"/>
    <w:rsid w:val="008932D0"/>
    <w:rsid w:val="008A4DD4"/>
    <w:rsid w:val="008B0B8D"/>
    <w:rsid w:val="008B5759"/>
    <w:rsid w:val="008C74F7"/>
    <w:rsid w:val="008E1569"/>
    <w:rsid w:val="0090199A"/>
    <w:rsid w:val="009022FB"/>
    <w:rsid w:val="009217CB"/>
    <w:rsid w:val="00932ACC"/>
    <w:rsid w:val="00941610"/>
    <w:rsid w:val="009628BC"/>
    <w:rsid w:val="009853AB"/>
    <w:rsid w:val="009879C9"/>
    <w:rsid w:val="009952BD"/>
    <w:rsid w:val="009B54E9"/>
    <w:rsid w:val="009C6DD3"/>
    <w:rsid w:val="009D42F5"/>
    <w:rsid w:val="009D48A2"/>
    <w:rsid w:val="009D77E2"/>
    <w:rsid w:val="009F773D"/>
    <w:rsid w:val="00A0726C"/>
    <w:rsid w:val="00A2452D"/>
    <w:rsid w:val="00A245AE"/>
    <w:rsid w:val="00A34975"/>
    <w:rsid w:val="00A35DC9"/>
    <w:rsid w:val="00A515B6"/>
    <w:rsid w:val="00A57890"/>
    <w:rsid w:val="00A66CE0"/>
    <w:rsid w:val="00A72BCC"/>
    <w:rsid w:val="00A82180"/>
    <w:rsid w:val="00AB21EE"/>
    <w:rsid w:val="00AE2215"/>
    <w:rsid w:val="00AE5FD5"/>
    <w:rsid w:val="00AE77AF"/>
    <w:rsid w:val="00B022D5"/>
    <w:rsid w:val="00B332E8"/>
    <w:rsid w:val="00B739C6"/>
    <w:rsid w:val="00B823AD"/>
    <w:rsid w:val="00BA0373"/>
    <w:rsid w:val="00C05072"/>
    <w:rsid w:val="00C30989"/>
    <w:rsid w:val="00C50C9C"/>
    <w:rsid w:val="00C559FF"/>
    <w:rsid w:val="00C56C3B"/>
    <w:rsid w:val="00C74655"/>
    <w:rsid w:val="00C8280A"/>
    <w:rsid w:val="00C85A27"/>
    <w:rsid w:val="00C85BA7"/>
    <w:rsid w:val="00C87839"/>
    <w:rsid w:val="00CA5822"/>
    <w:rsid w:val="00CC1598"/>
    <w:rsid w:val="00D04B1F"/>
    <w:rsid w:val="00D34D23"/>
    <w:rsid w:val="00D515C0"/>
    <w:rsid w:val="00D54AFE"/>
    <w:rsid w:val="00D65D04"/>
    <w:rsid w:val="00D71171"/>
    <w:rsid w:val="00D72C7B"/>
    <w:rsid w:val="00D8544E"/>
    <w:rsid w:val="00DA6130"/>
    <w:rsid w:val="00DA6B8D"/>
    <w:rsid w:val="00DE4AA6"/>
    <w:rsid w:val="00DF39F3"/>
    <w:rsid w:val="00DF61A2"/>
    <w:rsid w:val="00E16F30"/>
    <w:rsid w:val="00E22056"/>
    <w:rsid w:val="00E2270D"/>
    <w:rsid w:val="00E32405"/>
    <w:rsid w:val="00E65984"/>
    <w:rsid w:val="00E67E8E"/>
    <w:rsid w:val="00E76DB5"/>
    <w:rsid w:val="00E91C79"/>
    <w:rsid w:val="00E96CAC"/>
    <w:rsid w:val="00EA3969"/>
    <w:rsid w:val="00EC1BAF"/>
    <w:rsid w:val="00EC3804"/>
    <w:rsid w:val="00ED2673"/>
    <w:rsid w:val="00ED798B"/>
    <w:rsid w:val="00EF379B"/>
    <w:rsid w:val="00EF6CFC"/>
    <w:rsid w:val="00F0146B"/>
    <w:rsid w:val="00F01C8E"/>
    <w:rsid w:val="00F020D6"/>
    <w:rsid w:val="00F02E2C"/>
    <w:rsid w:val="00F12023"/>
    <w:rsid w:val="00F25947"/>
    <w:rsid w:val="00F355B8"/>
    <w:rsid w:val="00F50C65"/>
    <w:rsid w:val="00F53455"/>
    <w:rsid w:val="00F53552"/>
    <w:rsid w:val="00F919E6"/>
    <w:rsid w:val="00FA5C1C"/>
    <w:rsid w:val="00FB6474"/>
    <w:rsid w:val="00FB764E"/>
    <w:rsid w:val="00FC4537"/>
    <w:rsid w:val="00FC4E3A"/>
    <w:rsid w:val="00FC7DB6"/>
    <w:rsid w:val="00FC7F21"/>
    <w:rsid w:val="00FF61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A928"/>
  <w15:chartTrackingRefBased/>
  <w15:docId w15:val="{EDAEEAF0-40E9-4798-A938-A85DFF85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4E9"/>
  </w:style>
  <w:style w:type="paragraph" w:styleId="1">
    <w:name w:val="heading 1"/>
    <w:aliases w:val="аспекти"/>
    <w:basedOn w:val="a"/>
    <w:next w:val="a"/>
    <w:link w:val="10"/>
    <w:uiPriority w:val="9"/>
    <w:qFormat/>
    <w:rsid w:val="009217CB"/>
    <w:pPr>
      <w:keepNext/>
      <w:keepLines/>
      <w:outlineLvl w:val="0"/>
    </w:pPr>
    <w:rPr>
      <w:rFonts w:eastAsiaTheme="majorEastAsia" w:cstheme="majorBidi"/>
      <w:b/>
      <w:color w:val="000000" w:themeColor="text1"/>
      <w:sz w:val="28"/>
      <w:szCs w:val="32"/>
      <w:lang w:eastAsia="uk-UA"/>
    </w:rPr>
  </w:style>
  <w:style w:type="paragraph" w:styleId="2">
    <w:name w:val="heading 2"/>
    <w:aliases w:val="підсумкова оцінка"/>
    <w:basedOn w:val="a"/>
    <w:next w:val="a"/>
    <w:link w:val="20"/>
    <w:uiPriority w:val="9"/>
    <w:unhideWhenUsed/>
    <w:qFormat/>
    <w:rsid w:val="009217CB"/>
    <w:pPr>
      <w:keepNext/>
      <w:keepLines/>
      <w:outlineLvl w:val="1"/>
    </w:pPr>
    <w:rPr>
      <w:rFonts w:eastAsiaTheme="majorEastAsia" w:cstheme="majorBidi"/>
      <w:b/>
      <w:color w:val="000000" w:themeColor="text1"/>
      <w:sz w:val="28"/>
      <w:szCs w:val="26"/>
      <w:lang w:eastAsia="uk-UA"/>
    </w:rPr>
  </w:style>
  <w:style w:type="paragraph" w:styleId="3">
    <w:name w:val="heading 3"/>
    <w:basedOn w:val="a"/>
    <w:next w:val="a"/>
    <w:link w:val="30"/>
    <w:uiPriority w:val="9"/>
    <w:semiHidden/>
    <w:unhideWhenUsed/>
    <w:qFormat/>
    <w:rsid w:val="00FF610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аспекти Знак"/>
    <w:basedOn w:val="a0"/>
    <w:link w:val="1"/>
    <w:uiPriority w:val="9"/>
    <w:rsid w:val="009217CB"/>
    <w:rPr>
      <w:rFonts w:ascii="Times New Roman" w:eastAsiaTheme="majorEastAsia" w:hAnsi="Times New Roman" w:cstheme="majorBidi"/>
      <w:b/>
      <w:color w:val="000000" w:themeColor="text1"/>
      <w:sz w:val="28"/>
      <w:szCs w:val="32"/>
      <w:lang w:eastAsia="uk-UA"/>
    </w:rPr>
  </w:style>
  <w:style w:type="character" w:customStyle="1" w:styleId="20">
    <w:name w:val="Заголовок 2 Знак"/>
    <w:aliases w:val="підсумкова оцінка Знак"/>
    <w:basedOn w:val="a0"/>
    <w:link w:val="2"/>
    <w:uiPriority w:val="9"/>
    <w:rsid w:val="009217CB"/>
    <w:rPr>
      <w:rFonts w:ascii="Times New Roman" w:eastAsiaTheme="majorEastAsia" w:hAnsi="Times New Roman" w:cstheme="majorBidi"/>
      <w:b/>
      <w:color w:val="000000" w:themeColor="text1"/>
      <w:sz w:val="28"/>
      <w:szCs w:val="26"/>
      <w:lang w:eastAsia="uk-UA"/>
    </w:rPr>
  </w:style>
  <w:style w:type="character" w:customStyle="1" w:styleId="30">
    <w:name w:val="Заголовок 3 Знак"/>
    <w:basedOn w:val="a0"/>
    <w:link w:val="3"/>
    <w:uiPriority w:val="9"/>
    <w:semiHidden/>
    <w:rsid w:val="00FF6102"/>
    <w:rPr>
      <w:rFonts w:asciiTheme="majorHAnsi" w:eastAsiaTheme="majorEastAsia" w:hAnsiTheme="majorHAnsi" w:cstheme="majorBidi"/>
      <w:color w:val="1F4D78" w:themeColor="accent1" w:themeShade="7F"/>
      <w:szCs w:val="24"/>
    </w:rPr>
  </w:style>
  <w:style w:type="paragraph" w:customStyle="1" w:styleId="a3">
    <w:name w:val="Аспект"/>
    <w:basedOn w:val="a"/>
    <w:qFormat/>
    <w:rsid w:val="00B332E8"/>
    <w:rPr>
      <w:rFonts w:eastAsia="Times New Roman" w:cs="Times New Roman"/>
      <w:b/>
      <w:bCs/>
      <w:iCs/>
      <w:color w:val="000000" w:themeColor="text1"/>
      <w:sz w:val="28"/>
      <w:szCs w:val="28"/>
      <w:lang w:eastAsia="ru-RU"/>
    </w:rPr>
  </w:style>
  <w:style w:type="paragraph" w:customStyle="1" w:styleId="a4">
    <w:name w:val="Критерій"/>
    <w:basedOn w:val="a"/>
    <w:qFormat/>
    <w:rsid w:val="00B332E8"/>
    <w:rPr>
      <w:rFonts w:eastAsia="Times New Roman" w:cs="Times New Roman"/>
      <w:b/>
      <w:bCs/>
      <w:i/>
      <w:iCs/>
      <w:color w:val="000000" w:themeColor="text1"/>
      <w:szCs w:val="24"/>
      <w:lang w:eastAsia="ru-RU"/>
    </w:rPr>
  </w:style>
  <w:style w:type="paragraph" w:customStyle="1" w:styleId="11">
    <w:name w:val="1 Аспект"/>
    <w:basedOn w:val="a"/>
    <w:qFormat/>
    <w:rsid w:val="00B332E8"/>
    <w:rPr>
      <w:rFonts w:eastAsia="Times New Roman" w:cs="Times New Roman"/>
      <w:b/>
      <w:bCs/>
      <w:iCs/>
      <w:color w:val="000000" w:themeColor="text1"/>
      <w:sz w:val="28"/>
      <w:szCs w:val="28"/>
      <w:lang w:eastAsia="ru-RU"/>
    </w:rPr>
  </w:style>
  <w:style w:type="paragraph" w:customStyle="1" w:styleId="21">
    <w:name w:val="2 Критерій"/>
    <w:basedOn w:val="a"/>
    <w:qFormat/>
    <w:rsid w:val="00B332E8"/>
    <w:rPr>
      <w:rFonts w:eastAsia="Times New Roman" w:cs="Times New Roman"/>
      <w:b/>
      <w:bCs/>
      <w:i/>
      <w:iCs/>
      <w:color w:val="000000" w:themeColor="text1"/>
      <w:szCs w:val="24"/>
      <w:lang w:eastAsia="ru-RU"/>
    </w:rPr>
  </w:style>
  <w:style w:type="character" w:customStyle="1" w:styleId="CharStyle13">
    <w:name w:val="Char Style 13"/>
    <w:basedOn w:val="a0"/>
    <w:link w:val="Style4"/>
    <w:rsid w:val="00507450"/>
    <w:rPr>
      <w:sz w:val="21"/>
      <w:szCs w:val="21"/>
      <w:shd w:val="clear" w:color="auto" w:fill="FFFFFF"/>
    </w:rPr>
  </w:style>
  <w:style w:type="paragraph" w:customStyle="1" w:styleId="Style4">
    <w:name w:val="Style 4"/>
    <w:basedOn w:val="a"/>
    <w:link w:val="CharStyle13"/>
    <w:rsid w:val="00507450"/>
    <w:pPr>
      <w:widowControl w:val="0"/>
      <w:shd w:val="clear" w:color="auto" w:fill="FFFFFF"/>
      <w:spacing w:before="600" w:line="0" w:lineRule="atLeast"/>
      <w:ind w:hanging="700"/>
      <w:jc w:val="left"/>
    </w:pPr>
    <w:rPr>
      <w:sz w:val="21"/>
      <w:szCs w:val="21"/>
    </w:rPr>
  </w:style>
  <w:style w:type="character" w:customStyle="1" w:styleId="CharStyle12">
    <w:name w:val="Char Style 12"/>
    <w:basedOn w:val="a0"/>
    <w:link w:val="Style11"/>
    <w:rsid w:val="00507450"/>
    <w:rPr>
      <w:sz w:val="21"/>
      <w:szCs w:val="21"/>
      <w:shd w:val="clear" w:color="auto" w:fill="FFFFFF"/>
    </w:rPr>
  </w:style>
  <w:style w:type="paragraph" w:customStyle="1" w:styleId="Style11">
    <w:name w:val="Style 11"/>
    <w:basedOn w:val="a"/>
    <w:link w:val="CharStyle12"/>
    <w:rsid w:val="00507450"/>
    <w:pPr>
      <w:widowControl w:val="0"/>
      <w:shd w:val="clear" w:color="auto" w:fill="FFFFFF"/>
      <w:spacing w:after="600" w:line="403" w:lineRule="exact"/>
    </w:pPr>
    <w:rPr>
      <w:sz w:val="21"/>
      <w:szCs w:val="21"/>
    </w:rPr>
  </w:style>
  <w:style w:type="character" w:customStyle="1" w:styleId="CharStyle17">
    <w:name w:val="Char Style 17"/>
    <w:basedOn w:val="a0"/>
    <w:link w:val="Style16"/>
    <w:rsid w:val="00507450"/>
    <w:rPr>
      <w:sz w:val="23"/>
      <w:szCs w:val="23"/>
      <w:shd w:val="clear" w:color="auto" w:fill="FFFFFF"/>
    </w:rPr>
  </w:style>
  <w:style w:type="paragraph" w:customStyle="1" w:styleId="Style16">
    <w:name w:val="Style 16"/>
    <w:basedOn w:val="a"/>
    <w:link w:val="CharStyle17"/>
    <w:rsid w:val="00507450"/>
    <w:pPr>
      <w:widowControl w:val="0"/>
      <w:shd w:val="clear" w:color="auto" w:fill="FFFFFF"/>
      <w:spacing w:before="600" w:line="324" w:lineRule="exact"/>
      <w:ind w:hanging="380"/>
      <w:jc w:val="both"/>
    </w:pPr>
    <w:rPr>
      <w:sz w:val="23"/>
      <w:szCs w:val="23"/>
    </w:rPr>
  </w:style>
  <w:style w:type="character" w:customStyle="1" w:styleId="CharStyle25">
    <w:name w:val="Char Style 25"/>
    <w:basedOn w:val="a0"/>
    <w:link w:val="Style24"/>
    <w:rsid w:val="00507450"/>
    <w:rPr>
      <w:sz w:val="21"/>
      <w:szCs w:val="21"/>
      <w:shd w:val="clear" w:color="auto" w:fill="FFFFFF"/>
    </w:rPr>
  </w:style>
  <w:style w:type="paragraph" w:customStyle="1" w:styleId="Style24">
    <w:name w:val="Style 24"/>
    <w:basedOn w:val="a"/>
    <w:link w:val="CharStyle25"/>
    <w:rsid w:val="00507450"/>
    <w:pPr>
      <w:widowControl w:val="0"/>
      <w:shd w:val="clear" w:color="auto" w:fill="FFFFFF"/>
      <w:spacing w:after="180" w:line="0" w:lineRule="atLeast"/>
      <w:jc w:val="left"/>
    </w:pPr>
    <w:rPr>
      <w:sz w:val="21"/>
      <w:szCs w:val="21"/>
    </w:rPr>
  </w:style>
  <w:style w:type="character" w:customStyle="1" w:styleId="CharStyle46">
    <w:name w:val="Char Style 46"/>
    <w:basedOn w:val="CharStyle13"/>
    <w:rsid w:val="0050745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
    </w:rPr>
  </w:style>
  <w:style w:type="character" w:customStyle="1" w:styleId="CharStyle27">
    <w:name w:val="Char Style 27"/>
    <w:basedOn w:val="a0"/>
    <w:link w:val="Style26"/>
    <w:rsid w:val="00FC7F21"/>
    <w:rPr>
      <w:sz w:val="23"/>
      <w:szCs w:val="23"/>
      <w:shd w:val="clear" w:color="auto" w:fill="FFFFFF"/>
    </w:rPr>
  </w:style>
  <w:style w:type="paragraph" w:customStyle="1" w:styleId="Style26">
    <w:name w:val="Style 26"/>
    <w:basedOn w:val="a"/>
    <w:link w:val="CharStyle27"/>
    <w:rsid w:val="00FC7F21"/>
    <w:pPr>
      <w:widowControl w:val="0"/>
      <w:shd w:val="clear" w:color="auto" w:fill="FFFFFF"/>
      <w:spacing w:line="425" w:lineRule="exact"/>
      <w:ind w:hanging="700"/>
      <w:outlineLvl w:val="2"/>
    </w:pPr>
    <w:rPr>
      <w:sz w:val="23"/>
      <w:szCs w:val="23"/>
    </w:rPr>
  </w:style>
  <w:style w:type="character" w:styleId="a5">
    <w:name w:val="Hyperlink"/>
    <w:basedOn w:val="a0"/>
    <w:uiPriority w:val="99"/>
    <w:unhideWhenUsed/>
    <w:rsid w:val="009952BD"/>
    <w:rPr>
      <w:color w:val="0563C1" w:themeColor="hyperlink"/>
      <w:u w:val="single"/>
    </w:rPr>
  </w:style>
  <w:style w:type="character" w:styleId="a6">
    <w:name w:val="Strong"/>
    <w:basedOn w:val="a0"/>
    <w:uiPriority w:val="22"/>
    <w:qFormat/>
    <w:rsid w:val="0006496C"/>
    <w:rPr>
      <w:b/>
      <w:bCs/>
    </w:rPr>
  </w:style>
  <w:style w:type="paragraph" w:styleId="a7">
    <w:name w:val="Normal (Web)"/>
    <w:basedOn w:val="a"/>
    <w:uiPriority w:val="99"/>
    <w:unhideWhenUsed/>
    <w:rsid w:val="0006496C"/>
    <w:pPr>
      <w:spacing w:before="100" w:beforeAutospacing="1" w:after="100" w:afterAutospacing="1"/>
      <w:jc w:val="left"/>
    </w:pPr>
    <w:rPr>
      <w:rFonts w:eastAsia="Times New Roman" w:cs="Times New Roman"/>
      <w:szCs w:val="24"/>
      <w:lang w:eastAsia="uk-UA"/>
    </w:rPr>
  </w:style>
  <w:style w:type="paragraph" w:styleId="a8">
    <w:name w:val="Balloon Text"/>
    <w:basedOn w:val="a"/>
    <w:link w:val="a9"/>
    <w:uiPriority w:val="99"/>
    <w:semiHidden/>
    <w:unhideWhenUsed/>
    <w:rsid w:val="00C559FF"/>
    <w:rPr>
      <w:rFonts w:ascii="Segoe UI" w:hAnsi="Segoe UI" w:cs="Segoe UI"/>
      <w:sz w:val="18"/>
      <w:szCs w:val="18"/>
    </w:rPr>
  </w:style>
  <w:style w:type="character" w:customStyle="1" w:styleId="a9">
    <w:name w:val="Текст у виносці Знак"/>
    <w:basedOn w:val="a0"/>
    <w:link w:val="a8"/>
    <w:uiPriority w:val="99"/>
    <w:semiHidden/>
    <w:rsid w:val="00C559FF"/>
    <w:rPr>
      <w:rFonts w:ascii="Segoe UI" w:hAnsi="Segoe UI" w:cs="Segoe UI"/>
      <w:sz w:val="18"/>
      <w:szCs w:val="18"/>
    </w:rPr>
  </w:style>
  <w:style w:type="paragraph" w:customStyle="1" w:styleId="selectionshareable">
    <w:name w:val="selectionshareable"/>
    <w:basedOn w:val="a"/>
    <w:rsid w:val="00C559FF"/>
    <w:pPr>
      <w:spacing w:before="100" w:beforeAutospacing="1" w:after="100" w:afterAutospacing="1"/>
      <w:jc w:val="left"/>
    </w:pPr>
    <w:rPr>
      <w:rFonts w:eastAsia="Times New Roman" w:cs="Times New Roman"/>
      <w:szCs w:val="24"/>
      <w:lang w:eastAsia="uk-UA"/>
    </w:rPr>
  </w:style>
  <w:style w:type="table" w:customStyle="1" w:styleId="12">
    <w:name w:val="Сетка таблицы1"/>
    <w:basedOn w:val="a1"/>
    <w:next w:val="aa"/>
    <w:rsid w:val="00126D33"/>
    <w:rPr>
      <w:rFonts w:eastAsia="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126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3">
    <w:name w:val="Char Style 3"/>
    <w:basedOn w:val="a0"/>
    <w:link w:val="Style2"/>
    <w:locked/>
    <w:rsid w:val="00AE5FD5"/>
    <w:rPr>
      <w:spacing w:val="20"/>
      <w:shd w:val="clear" w:color="auto" w:fill="FFFFFF"/>
    </w:rPr>
  </w:style>
  <w:style w:type="paragraph" w:customStyle="1" w:styleId="Style2">
    <w:name w:val="Style 2"/>
    <w:basedOn w:val="a"/>
    <w:link w:val="CharStyle3"/>
    <w:rsid w:val="00AE5FD5"/>
    <w:pPr>
      <w:shd w:val="clear" w:color="auto" w:fill="FFFFFF"/>
      <w:spacing w:after="600" w:line="365" w:lineRule="exact"/>
    </w:pPr>
    <w:rPr>
      <w:spacing w:val="20"/>
    </w:rPr>
  </w:style>
  <w:style w:type="character" w:customStyle="1" w:styleId="CharStyle5">
    <w:name w:val="Char Style 5"/>
    <w:basedOn w:val="a0"/>
    <w:locked/>
    <w:rsid w:val="00AE5FD5"/>
    <w:rPr>
      <w:spacing w:val="10"/>
      <w:shd w:val="clear" w:color="auto" w:fill="FFFFFF"/>
    </w:rPr>
  </w:style>
  <w:style w:type="character" w:customStyle="1" w:styleId="CharStyle7">
    <w:name w:val="Char Style 7"/>
    <w:basedOn w:val="a0"/>
    <w:link w:val="Style6"/>
    <w:locked/>
    <w:rsid w:val="00AE5FD5"/>
    <w:rPr>
      <w:spacing w:val="10"/>
      <w:shd w:val="clear" w:color="auto" w:fill="FFFFFF"/>
    </w:rPr>
  </w:style>
  <w:style w:type="paragraph" w:customStyle="1" w:styleId="Style6">
    <w:name w:val="Style 6"/>
    <w:basedOn w:val="a"/>
    <w:link w:val="CharStyle7"/>
    <w:rsid w:val="00AE5FD5"/>
    <w:pPr>
      <w:shd w:val="clear" w:color="auto" w:fill="FFFFFF"/>
      <w:spacing w:line="317" w:lineRule="exact"/>
      <w:jc w:val="both"/>
    </w:pPr>
    <w:rPr>
      <w:spacing w:val="10"/>
    </w:rPr>
  </w:style>
  <w:style w:type="character" w:customStyle="1" w:styleId="CharStyle10">
    <w:name w:val="Char Style 10"/>
    <w:basedOn w:val="a0"/>
    <w:link w:val="Style9"/>
    <w:locked/>
    <w:rsid w:val="00AE5FD5"/>
    <w:rPr>
      <w:shd w:val="clear" w:color="auto" w:fill="FFFFFF"/>
    </w:rPr>
  </w:style>
  <w:style w:type="paragraph" w:customStyle="1" w:styleId="Style9">
    <w:name w:val="Style 9"/>
    <w:basedOn w:val="a"/>
    <w:link w:val="CharStyle10"/>
    <w:rsid w:val="00AE5FD5"/>
    <w:pPr>
      <w:shd w:val="clear" w:color="auto" w:fill="FFFFFF"/>
      <w:spacing w:line="317" w:lineRule="exact"/>
      <w:ind w:firstLine="700"/>
      <w:jc w:val="both"/>
    </w:pPr>
  </w:style>
  <w:style w:type="character" w:customStyle="1" w:styleId="CharStyle20">
    <w:name w:val="Char Style 20"/>
    <w:basedOn w:val="a0"/>
    <w:link w:val="Style19"/>
    <w:locked/>
    <w:rsid w:val="00AE5FD5"/>
    <w:rPr>
      <w:spacing w:val="20"/>
      <w:shd w:val="clear" w:color="auto" w:fill="FFFFFF"/>
    </w:rPr>
  </w:style>
  <w:style w:type="paragraph" w:customStyle="1" w:styleId="Style19">
    <w:name w:val="Style 19"/>
    <w:basedOn w:val="a"/>
    <w:link w:val="CharStyle20"/>
    <w:rsid w:val="00AE5FD5"/>
    <w:pPr>
      <w:shd w:val="clear" w:color="auto" w:fill="FFFFFF"/>
      <w:spacing w:before="600" w:line="317" w:lineRule="exact"/>
      <w:ind w:firstLine="720"/>
      <w:jc w:val="both"/>
    </w:pPr>
    <w:rPr>
      <w:spacing w:val="20"/>
    </w:rPr>
  </w:style>
  <w:style w:type="character" w:customStyle="1" w:styleId="CharStyle8">
    <w:name w:val="Char Style 8"/>
    <w:basedOn w:val="a0"/>
    <w:rsid w:val="00AE5FD5"/>
    <w:rPr>
      <w:rFonts w:ascii="Times New Roman" w:hAnsi="Times New Roman" w:cs="Times New Roman" w:hint="default"/>
      <w:i/>
      <w:iCs/>
      <w:color w:val="000000"/>
      <w:spacing w:val="10"/>
      <w:position w:val="0"/>
      <w:shd w:val="clear" w:color="auto" w:fill="FFFFFF"/>
    </w:rPr>
  </w:style>
  <w:style w:type="character" w:customStyle="1" w:styleId="CharStyle11">
    <w:name w:val="Char Style 11"/>
    <w:basedOn w:val="a0"/>
    <w:rsid w:val="00AE5FD5"/>
    <w:rPr>
      <w:rFonts w:ascii="Times New Roman" w:hAnsi="Times New Roman" w:cs="Times New Roman" w:hint="default"/>
      <w:color w:val="000000"/>
      <w:spacing w:val="10"/>
      <w:position w:val="0"/>
      <w:u w:val="single"/>
      <w:shd w:val="clear" w:color="auto" w:fill="FFFFFF"/>
    </w:rPr>
  </w:style>
  <w:style w:type="character" w:customStyle="1" w:styleId="CharStyle16">
    <w:name w:val="Char Style 16"/>
    <w:basedOn w:val="a0"/>
    <w:rsid w:val="00AE5FD5"/>
    <w:rPr>
      <w:rFonts w:ascii="Times New Roman" w:hAnsi="Times New Roman" w:cs="Times New Roman" w:hint="default"/>
      <w:b/>
      <w:bCs/>
      <w:color w:val="000000"/>
      <w:spacing w:val="0"/>
      <w:position w:val="0"/>
      <w:shd w:val="clear" w:color="auto" w:fill="FFFFFF"/>
    </w:rPr>
  </w:style>
  <w:style w:type="character" w:customStyle="1" w:styleId="CharStyle18">
    <w:name w:val="Char Style 18"/>
    <w:basedOn w:val="a0"/>
    <w:rsid w:val="00AE5FD5"/>
    <w:rPr>
      <w:rFonts w:ascii="Times New Roman" w:hAnsi="Times New Roman" w:cs="Times New Roman" w:hint="default"/>
      <w:b/>
      <w:bCs/>
      <w:color w:val="000000"/>
      <w:spacing w:val="0"/>
      <w:position w:val="0"/>
      <w:shd w:val="clear" w:color="auto" w:fill="FFFFFF"/>
    </w:rPr>
  </w:style>
  <w:style w:type="character" w:customStyle="1" w:styleId="CharStyle21">
    <w:name w:val="Char Style 21"/>
    <w:basedOn w:val="a0"/>
    <w:rsid w:val="00AE5FD5"/>
    <w:rPr>
      <w:rFonts w:ascii="Times New Roman" w:hAnsi="Times New Roman" w:cs="Times New Roman" w:hint="default"/>
      <w:color w:val="000000"/>
      <w:spacing w:val="10"/>
      <w:position w:val="0"/>
      <w:u w:val="single"/>
      <w:shd w:val="clear" w:color="auto" w:fill="FFFFFF"/>
    </w:rPr>
  </w:style>
  <w:style w:type="character" w:customStyle="1" w:styleId="CharStyle22">
    <w:name w:val="Char Style 22"/>
    <w:basedOn w:val="a0"/>
    <w:rsid w:val="00AE5FD5"/>
    <w:rPr>
      <w:rFonts w:ascii="Times New Roman" w:hAnsi="Times New Roman" w:cs="Times New Roman" w:hint="default"/>
      <w:i/>
      <w:iCs/>
      <w:color w:val="000000"/>
      <w:spacing w:val="10"/>
      <w:position w:val="0"/>
      <w:shd w:val="clear" w:color="auto" w:fill="FFFFFF"/>
    </w:rPr>
  </w:style>
  <w:style w:type="character" w:customStyle="1" w:styleId="CharStyle23">
    <w:name w:val="Char Style 23"/>
    <w:basedOn w:val="a0"/>
    <w:rsid w:val="00AE5FD5"/>
    <w:rPr>
      <w:rFonts w:ascii="Times New Roman" w:hAnsi="Times New Roman" w:cs="Times New Roman" w:hint="default"/>
      <w:b/>
      <w:bCs/>
      <w:color w:val="000000"/>
      <w:spacing w:val="0"/>
      <w:position w:val="0"/>
      <w:shd w:val="clear" w:color="auto" w:fill="FFFFFF"/>
    </w:rPr>
  </w:style>
  <w:style w:type="character" w:customStyle="1" w:styleId="CharStyle24">
    <w:name w:val="Char Style 24"/>
    <w:basedOn w:val="a0"/>
    <w:rsid w:val="00AE5FD5"/>
    <w:rPr>
      <w:rFonts w:ascii="Times New Roman" w:hAnsi="Times New Roman" w:cs="Times New Roman" w:hint="default"/>
      <w:i/>
      <w:iCs/>
      <w:color w:val="000000"/>
      <w:spacing w:val="10"/>
      <w:position w:val="0"/>
      <w:u w:val="single"/>
      <w:shd w:val="clear" w:color="auto" w:fill="FFFFFF"/>
    </w:rPr>
  </w:style>
  <w:style w:type="paragraph" w:styleId="ab">
    <w:name w:val="List Paragraph"/>
    <w:basedOn w:val="a"/>
    <w:uiPriority w:val="34"/>
    <w:qFormat/>
    <w:rsid w:val="00E22056"/>
    <w:pPr>
      <w:ind w:left="720"/>
      <w:contextualSpacing/>
    </w:pPr>
    <w:rPr>
      <w:rFonts w:eastAsia="Times New Roman" w:cs="Times New Roman"/>
      <w:szCs w:val="24"/>
      <w:lang w:eastAsia="uk-UA"/>
    </w:rPr>
  </w:style>
  <w:style w:type="character" w:customStyle="1" w:styleId="CharStyle9">
    <w:name w:val="Char Style 9"/>
    <w:basedOn w:val="a0"/>
    <w:link w:val="Style8"/>
    <w:rsid w:val="001E155A"/>
    <w:rPr>
      <w:sz w:val="27"/>
      <w:szCs w:val="27"/>
      <w:shd w:val="clear" w:color="auto" w:fill="FFFFFF"/>
    </w:rPr>
  </w:style>
  <w:style w:type="paragraph" w:customStyle="1" w:styleId="Style8">
    <w:name w:val="Style 8"/>
    <w:basedOn w:val="a"/>
    <w:link w:val="CharStyle9"/>
    <w:rsid w:val="001E155A"/>
    <w:pPr>
      <w:widowControl w:val="0"/>
      <w:shd w:val="clear" w:color="auto" w:fill="FFFFFF"/>
      <w:spacing w:after="180" w:line="324" w:lineRule="exact"/>
      <w:jc w:val="left"/>
      <w:outlineLvl w:val="1"/>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0798">
      <w:bodyDiv w:val="1"/>
      <w:marLeft w:val="0"/>
      <w:marRight w:val="0"/>
      <w:marTop w:val="0"/>
      <w:marBottom w:val="0"/>
      <w:divBdr>
        <w:top w:val="none" w:sz="0" w:space="0" w:color="auto"/>
        <w:left w:val="none" w:sz="0" w:space="0" w:color="auto"/>
        <w:bottom w:val="none" w:sz="0" w:space="0" w:color="auto"/>
        <w:right w:val="none" w:sz="0" w:space="0" w:color="auto"/>
      </w:divBdr>
    </w:div>
    <w:div w:id="134834139">
      <w:bodyDiv w:val="1"/>
      <w:marLeft w:val="0"/>
      <w:marRight w:val="0"/>
      <w:marTop w:val="0"/>
      <w:marBottom w:val="0"/>
      <w:divBdr>
        <w:top w:val="none" w:sz="0" w:space="0" w:color="auto"/>
        <w:left w:val="none" w:sz="0" w:space="0" w:color="auto"/>
        <w:bottom w:val="none" w:sz="0" w:space="0" w:color="auto"/>
        <w:right w:val="none" w:sz="0" w:space="0" w:color="auto"/>
      </w:divBdr>
    </w:div>
    <w:div w:id="208033470">
      <w:bodyDiv w:val="1"/>
      <w:marLeft w:val="0"/>
      <w:marRight w:val="0"/>
      <w:marTop w:val="0"/>
      <w:marBottom w:val="0"/>
      <w:divBdr>
        <w:top w:val="none" w:sz="0" w:space="0" w:color="auto"/>
        <w:left w:val="none" w:sz="0" w:space="0" w:color="auto"/>
        <w:bottom w:val="none" w:sz="0" w:space="0" w:color="auto"/>
        <w:right w:val="none" w:sz="0" w:space="0" w:color="auto"/>
      </w:divBdr>
    </w:div>
    <w:div w:id="280647970">
      <w:bodyDiv w:val="1"/>
      <w:marLeft w:val="0"/>
      <w:marRight w:val="0"/>
      <w:marTop w:val="0"/>
      <w:marBottom w:val="0"/>
      <w:divBdr>
        <w:top w:val="none" w:sz="0" w:space="0" w:color="auto"/>
        <w:left w:val="none" w:sz="0" w:space="0" w:color="auto"/>
        <w:bottom w:val="none" w:sz="0" w:space="0" w:color="auto"/>
        <w:right w:val="none" w:sz="0" w:space="0" w:color="auto"/>
      </w:divBdr>
    </w:div>
    <w:div w:id="352076580">
      <w:bodyDiv w:val="1"/>
      <w:marLeft w:val="0"/>
      <w:marRight w:val="0"/>
      <w:marTop w:val="0"/>
      <w:marBottom w:val="0"/>
      <w:divBdr>
        <w:top w:val="none" w:sz="0" w:space="0" w:color="auto"/>
        <w:left w:val="none" w:sz="0" w:space="0" w:color="auto"/>
        <w:bottom w:val="none" w:sz="0" w:space="0" w:color="auto"/>
        <w:right w:val="none" w:sz="0" w:space="0" w:color="auto"/>
      </w:divBdr>
    </w:div>
    <w:div w:id="384531757">
      <w:bodyDiv w:val="1"/>
      <w:marLeft w:val="0"/>
      <w:marRight w:val="0"/>
      <w:marTop w:val="0"/>
      <w:marBottom w:val="0"/>
      <w:divBdr>
        <w:top w:val="none" w:sz="0" w:space="0" w:color="auto"/>
        <w:left w:val="none" w:sz="0" w:space="0" w:color="auto"/>
        <w:bottom w:val="none" w:sz="0" w:space="0" w:color="auto"/>
        <w:right w:val="none" w:sz="0" w:space="0" w:color="auto"/>
      </w:divBdr>
    </w:div>
    <w:div w:id="425007246">
      <w:bodyDiv w:val="1"/>
      <w:marLeft w:val="0"/>
      <w:marRight w:val="0"/>
      <w:marTop w:val="0"/>
      <w:marBottom w:val="0"/>
      <w:divBdr>
        <w:top w:val="none" w:sz="0" w:space="0" w:color="auto"/>
        <w:left w:val="none" w:sz="0" w:space="0" w:color="auto"/>
        <w:bottom w:val="none" w:sz="0" w:space="0" w:color="auto"/>
        <w:right w:val="none" w:sz="0" w:space="0" w:color="auto"/>
      </w:divBdr>
    </w:div>
    <w:div w:id="468597573">
      <w:bodyDiv w:val="1"/>
      <w:marLeft w:val="0"/>
      <w:marRight w:val="0"/>
      <w:marTop w:val="0"/>
      <w:marBottom w:val="0"/>
      <w:divBdr>
        <w:top w:val="none" w:sz="0" w:space="0" w:color="auto"/>
        <w:left w:val="none" w:sz="0" w:space="0" w:color="auto"/>
        <w:bottom w:val="none" w:sz="0" w:space="0" w:color="auto"/>
        <w:right w:val="none" w:sz="0" w:space="0" w:color="auto"/>
      </w:divBdr>
    </w:div>
    <w:div w:id="474686982">
      <w:bodyDiv w:val="1"/>
      <w:marLeft w:val="0"/>
      <w:marRight w:val="0"/>
      <w:marTop w:val="0"/>
      <w:marBottom w:val="0"/>
      <w:divBdr>
        <w:top w:val="none" w:sz="0" w:space="0" w:color="auto"/>
        <w:left w:val="none" w:sz="0" w:space="0" w:color="auto"/>
        <w:bottom w:val="none" w:sz="0" w:space="0" w:color="auto"/>
        <w:right w:val="none" w:sz="0" w:space="0" w:color="auto"/>
      </w:divBdr>
    </w:div>
    <w:div w:id="583760133">
      <w:bodyDiv w:val="1"/>
      <w:marLeft w:val="0"/>
      <w:marRight w:val="0"/>
      <w:marTop w:val="0"/>
      <w:marBottom w:val="0"/>
      <w:divBdr>
        <w:top w:val="none" w:sz="0" w:space="0" w:color="auto"/>
        <w:left w:val="none" w:sz="0" w:space="0" w:color="auto"/>
        <w:bottom w:val="none" w:sz="0" w:space="0" w:color="auto"/>
        <w:right w:val="none" w:sz="0" w:space="0" w:color="auto"/>
      </w:divBdr>
    </w:div>
    <w:div w:id="752897043">
      <w:bodyDiv w:val="1"/>
      <w:marLeft w:val="0"/>
      <w:marRight w:val="0"/>
      <w:marTop w:val="0"/>
      <w:marBottom w:val="0"/>
      <w:divBdr>
        <w:top w:val="none" w:sz="0" w:space="0" w:color="auto"/>
        <w:left w:val="none" w:sz="0" w:space="0" w:color="auto"/>
        <w:bottom w:val="none" w:sz="0" w:space="0" w:color="auto"/>
        <w:right w:val="none" w:sz="0" w:space="0" w:color="auto"/>
      </w:divBdr>
      <w:divsChild>
        <w:div w:id="1723751972">
          <w:marLeft w:val="0"/>
          <w:marRight w:val="0"/>
          <w:marTop w:val="300"/>
          <w:marBottom w:val="0"/>
          <w:divBdr>
            <w:top w:val="none" w:sz="0" w:space="0" w:color="auto"/>
            <w:left w:val="none" w:sz="0" w:space="0" w:color="auto"/>
            <w:bottom w:val="none" w:sz="0" w:space="0" w:color="auto"/>
            <w:right w:val="none" w:sz="0" w:space="0" w:color="auto"/>
          </w:divBdr>
          <w:divsChild>
            <w:div w:id="277614646">
              <w:marLeft w:val="0"/>
              <w:marRight w:val="0"/>
              <w:marTop w:val="0"/>
              <w:marBottom w:val="0"/>
              <w:divBdr>
                <w:top w:val="none" w:sz="0" w:space="0" w:color="auto"/>
                <w:left w:val="none" w:sz="0" w:space="0" w:color="auto"/>
                <w:bottom w:val="none" w:sz="0" w:space="0" w:color="auto"/>
                <w:right w:val="none" w:sz="0" w:space="0" w:color="auto"/>
              </w:divBdr>
              <w:divsChild>
                <w:div w:id="56168216">
                  <w:marLeft w:val="0"/>
                  <w:marRight w:val="0"/>
                  <w:marTop w:val="0"/>
                  <w:marBottom w:val="0"/>
                  <w:divBdr>
                    <w:top w:val="none" w:sz="0" w:space="0" w:color="auto"/>
                    <w:left w:val="none" w:sz="0" w:space="0" w:color="auto"/>
                    <w:bottom w:val="none" w:sz="0" w:space="0" w:color="auto"/>
                    <w:right w:val="none" w:sz="0" w:space="0" w:color="auto"/>
                  </w:divBdr>
                  <w:divsChild>
                    <w:div w:id="2750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68945">
      <w:bodyDiv w:val="1"/>
      <w:marLeft w:val="0"/>
      <w:marRight w:val="0"/>
      <w:marTop w:val="0"/>
      <w:marBottom w:val="0"/>
      <w:divBdr>
        <w:top w:val="none" w:sz="0" w:space="0" w:color="auto"/>
        <w:left w:val="none" w:sz="0" w:space="0" w:color="auto"/>
        <w:bottom w:val="none" w:sz="0" w:space="0" w:color="auto"/>
        <w:right w:val="none" w:sz="0" w:space="0" w:color="auto"/>
      </w:divBdr>
      <w:divsChild>
        <w:div w:id="1742751984">
          <w:marLeft w:val="0"/>
          <w:marRight w:val="0"/>
          <w:marTop w:val="0"/>
          <w:marBottom w:val="0"/>
          <w:divBdr>
            <w:top w:val="none" w:sz="0" w:space="0" w:color="auto"/>
            <w:left w:val="none" w:sz="0" w:space="0" w:color="auto"/>
            <w:bottom w:val="none" w:sz="0" w:space="0" w:color="auto"/>
            <w:right w:val="none" w:sz="0" w:space="0" w:color="auto"/>
          </w:divBdr>
        </w:div>
      </w:divsChild>
    </w:div>
    <w:div w:id="872838468">
      <w:bodyDiv w:val="1"/>
      <w:marLeft w:val="0"/>
      <w:marRight w:val="0"/>
      <w:marTop w:val="0"/>
      <w:marBottom w:val="0"/>
      <w:divBdr>
        <w:top w:val="none" w:sz="0" w:space="0" w:color="auto"/>
        <w:left w:val="none" w:sz="0" w:space="0" w:color="auto"/>
        <w:bottom w:val="none" w:sz="0" w:space="0" w:color="auto"/>
        <w:right w:val="none" w:sz="0" w:space="0" w:color="auto"/>
      </w:divBdr>
    </w:div>
    <w:div w:id="901720042">
      <w:bodyDiv w:val="1"/>
      <w:marLeft w:val="0"/>
      <w:marRight w:val="0"/>
      <w:marTop w:val="0"/>
      <w:marBottom w:val="0"/>
      <w:divBdr>
        <w:top w:val="none" w:sz="0" w:space="0" w:color="auto"/>
        <w:left w:val="none" w:sz="0" w:space="0" w:color="auto"/>
        <w:bottom w:val="none" w:sz="0" w:space="0" w:color="auto"/>
        <w:right w:val="none" w:sz="0" w:space="0" w:color="auto"/>
      </w:divBdr>
    </w:div>
    <w:div w:id="972519342">
      <w:bodyDiv w:val="1"/>
      <w:marLeft w:val="0"/>
      <w:marRight w:val="0"/>
      <w:marTop w:val="0"/>
      <w:marBottom w:val="0"/>
      <w:divBdr>
        <w:top w:val="none" w:sz="0" w:space="0" w:color="auto"/>
        <w:left w:val="none" w:sz="0" w:space="0" w:color="auto"/>
        <w:bottom w:val="none" w:sz="0" w:space="0" w:color="auto"/>
        <w:right w:val="none" w:sz="0" w:space="0" w:color="auto"/>
      </w:divBdr>
    </w:div>
    <w:div w:id="1051927985">
      <w:bodyDiv w:val="1"/>
      <w:marLeft w:val="0"/>
      <w:marRight w:val="0"/>
      <w:marTop w:val="0"/>
      <w:marBottom w:val="0"/>
      <w:divBdr>
        <w:top w:val="none" w:sz="0" w:space="0" w:color="auto"/>
        <w:left w:val="none" w:sz="0" w:space="0" w:color="auto"/>
        <w:bottom w:val="none" w:sz="0" w:space="0" w:color="auto"/>
        <w:right w:val="none" w:sz="0" w:space="0" w:color="auto"/>
      </w:divBdr>
    </w:div>
    <w:div w:id="1293169760">
      <w:bodyDiv w:val="1"/>
      <w:marLeft w:val="0"/>
      <w:marRight w:val="0"/>
      <w:marTop w:val="0"/>
      <w:marBottom w:val="0"/>
      <w:divBdr>
        <w:top w:val="none" w:sz="0" w:space="0" w:color="auto"/>
        <w:left w:val="none" w:sz="0" w:space="0" w:color="auto"/>
        <w:bottom w:val="none" w:sz="0" w:space="0" w:color="auto"/>
        <w:right w:val="none" w:sz="0" w:space="0" w:color="auto"/>
      </w:divBdr>
    </w:div>
    <w:div w:id="1314287484">
      <w:bodyDiv w:val="1"/>
      <w:marLeft w:val="0"/>
      <w:marRight w:val="0"/>
      <w:marTop w:val="0"/>
      <w:marBottom w:val="0"/>
      <w:divBdr>
        <w:top w:val="none" w:sz="0" w:space="0" w:color="auto"/>
        <w:left w:val="none" w:sz="0" w:space="0" w:color="auto"/>
        <w:bottom w:val="none" w:sz="0" w:space="0" w:color="auto"/>
        <w:right w:val="none" w:sz="0" w:space="0" w:color="auto"/>
      </w:divBdr>
    </w:div>
    <w:div w:id="1360396925">
      <w:bodyDiv w:val="1"/>
      <w:marLeft w:val="0"/>
      <w:marRight w:val="0"/>
      <w:marTop w:val="0"/>
      <w:marBottom w:val="0"/>
      <w:divBdr>
        <w:top w:val="none" w:sz="0" w:space="0" w:color="auto"/>
        <w:left w:val="none" w:sz="0" w:space="0" w:color="auto"/>
        <w:bottom w:val="none" w:sz="0" w:space="0" w:color="auto"/>
        <w:right w:val="none" w:sz="0" w:space="0" w:color="auto"/>
      </w:divBdr>
    </w:div>
    <w:div w:id="1380324600">
      <w:bodyDiv w:val="1"/>
      <w:marLeft w:val="0"/>
      <w:marRight w:val="0"/>
      <w:marTop w:val="0"/>
      <w:marBottom w:val="0"/>
      <w:divBdr>
        <w:top w:val="none" w:sz="0" w:space="0" w:color="auto"/>
        <w:left w:val="none" w:sz="0" w:space="0" w:color="auto"/>
        <w:bottom w:val="none" w:sz="0" w:space="0" w:color="auto"/>
        <w:right w:val="none" w:sz="0" w:space="0" w:color="auto"/>
      </w:divBdr>
    </w:div>
    <w:div w:id="1407996902">
      <w:bodyDiv w:val="1"/>
      <w:marLeft w:val="0"/>
      <w:marRight w:val="0"/>
      <w:marTop w:val="0"/>
      <w:marBottom w:val="0"/>
      <w:divBdr>
        <w:top w:val="none" w:sz="0" w:space="0" w:color="auto"/>
        <w:left w:val="none" w:sz="0" w:space="0" w:color="auto"/>
        <w:bottom w:val="none" w:sz="0" w:space="0" w:color="auto"/>
        <w:right w:val="none" w:sz="0" w:space="0" w:color="auto"/>
      </w:divBdr>
    </w:div>
    <w:div w:id="1447575976">
      <w:bodyDiv w:val="1"/>
      <w:marLeft w:val="0"/>
      <w:marRight w:val="0"/>
      <w:marTop w:val="0"/>
      <w:marBottom w:val="0"/>
      <w:divBdr>
        <w:top w:val="none" w:sz="0" w:space="0" w:color="auto"/>
        <w:left w:val="none" w:sz="0" w:space="0" w:color="auto"/>
        <w:bottom w:val="none" w:sz="0" w:space="0" w:color="auto"/>
        <w:right w:val="none" w:sz="0" w:space="0" w:color="auto"/>
      </w:divBdr>
    </w:div>
    <w:div w:id="1472209069">
      <w:bodyDiv w:val="1"/>
      <w:marLeft w:val="0"/>
      <w:marRight w:val="0"/>
      <w:marTop w:val="0"/>
      <w:marBottom w:val="0"/>
      <w:divBdr>
        <w:top w:val="none" w:sz="0" w:space="0" w:color="auto"/>
        <w:left w:val="none" w:sz="0" w:space="0" w:color="auto"/>
        <w:bottom w:val="none" w:sz="0" w:space="0" w:color="auto"/>
        <w:right w:val="none" w:sz="0" w:space="0" w:color="auto"/>
      </w:divBdr>
    </w:div>
    <w:div w:id="1488396116">
      <w:bodyDiv w:val="1"/>
      <w:marLeft w:val="0"/>
      <w:marRight w:val="0"/>
      <w:marTop w:val="0"/>
      <w:marBottom w:val="0"/>
      <w:divBdr>
        <w:top w:val="none" w:sz="0" w:space="0" w:color="auto"/>
        <w:left w:val="none" w:sz="0" w:space="0" w:color="auto"/>
        <w:bottom w:val="none" w:sz="0" w:space="0" w:color="auto"/>
        <w:right w:val="none" w:sz="0" w:space="0" w:color="auto"/>
      </w:divBdr>
    </w:div>
    <w:div w:id="1513450355">
      <w:bodyDiv w:val="1"/>
      <w:marLeft w:val="0"/>
      <w:marRight w:val="0"/>
      <w:marTop w:val="0"/>
      <w:marBottom w:val="0"/>
      <w:divBdr>
        <w:top w:val="none" w:sz="0" w:space="0" w:color="auto"/>
        <w:left w:val="none" w:sz="0" w:space="0" w:color="auto"/>
        <w:bottom w:val="none" w:sz="0" w:space="0" w:color="auto"/>
        <w:right w:val="none" w:sz="0" w:space="0" w:color="auto"/>
      </w:divBdr>
    </w:div>
    <w:div w:id="1551191850">
      <w:bodyDiv w:val="1"/>
      <w:marLeft w:val="0"/>
      <w:marRight w:val="0"/>
      <w:marTop w:val="0"/>
      <w:marBottom w:val="0"/>
      <w:divBdr>
        <w:top w:val="none" w:sz="0" w:space="0" w:color="auto"/>
        <w:left w:val="none" w:sz="0" w:space="0" w:color="auto"/>
        <w:bottom w:val="none" w:sz="0" w:space="0" w:color="auto"/>
        <w:right w:val="none" w:sz="0" w:space="0" w:color="auto"/>
      </w:divBdr>
    </w:div>
    <w:div w:id="1628318770">
      <w:bodyDiv w:val="1"/>
      <w:marLeft w:val="0"/>
      <w:marRight w:val="0"/>
      <w:marTop w:val="0"/>
      <w:marBottom w:val="0"/>
      <w:divBdr>
        <w:top w:val="none" w:sz="0" w:space="0" w:color="auto"/>
        <w:left w:val="none" w:sz="0" w:space="0" w:color="auto"/>
        <w:bottom w:val="none" w:sz="0" w:space="0" w:color="auto"/>
        <w:right w:val="none" w:sz="0" w:space="0" w:color="auto"/>
      </w:divBdr>
    </w:div>
    <w:div w:id="1690836541">
      <w:bodyDiv w:val="1"/>
      <w:marLeft w:val="0"/>
      <w:marRight w:val="0"/>
      <w:marTop w:val="0"/>
      <w:marBottom w:val="0"/>
      <w:divBdr>
        <w:top w:val="none" w:sz="0" w:space="0" w:color="auto"/>
        <w:left w:val="none" w:sz="0" w:space="0" w:color="auto"/>
        <w:bottom w:val="none" w:sz="0" w:space="0" w:color="auto"/>
        <w:right w:val="none" w:sz="0" w:space="0" w:color="auto"/>
      </w:divBdr>
    </w:div>
    <w:div w:id="1777283610">
      <w:bodyDiv w:val="1"/>
      <w:marLeft w:val="0"/>
      <w:marRight w:val="0"/>
      <w:marTop w:val="0"/>
      <w:marBottom w:val="0"/>
      <w:divBdr>
        <w:top w:val="none" w:sz="0" w:space="0" w:color="auto"/>
        <w:left w:val="none" w:sz="0" w:space="0" w:color="auto"/>
        <w:bottom w:val="none" w:sz="0" w:space="0" w:color="auto"/>
        <w:right w:val="none" w:sz="0" w:space="0" w:color="auto"/>
      </w:divBdr>
    </w:div>
    <w:div w:id="1795909145">
      <w:bodyDiv w:val="1"/>
      <w:marLeft w:val="0"/>
      <w:marRight w:val="0"/>
      <w:marTop w:val="0"/>
      <w:marBottom w:val="0"/>
      <w:divBdr>
        <w:top w:val="none" w:sz="0" w:space="0" w:color="auto"/>
        <w:left w:val="none" w:sz="0" w:space="0" w:color="auto"/>
        <w:bottom w:val="none" w:sz="0" w:space="0" w:color="auto"/>
        <w:right w:val="none" w:sz="0" w:space="0" w:color="auto"/>
      </w:divBdr>
    </w:div>
    <w:div w:id="1802309597">
      <w:bodyDiv w:val="1"/>
      <w:marLeft w:val="0"/>
      <w:marRight w:val="0"/>
      <w:marTop w:val="0"/>
      <w:marBottom w:val="0"/>
      <w:divBdr>
        <w:top w:val="none" w:sz="0" w:space="0" w:color="auto"/>
        <w:left w:val="none" w:sz="0" w:space="0" w:color="auto"/>
        <w:bottom w:val="none" w:sz="0" w:space="0" w:color="auto"/>
        <w:right w:val="none" w:sz="0" w:space="0" w:color="auto"/>
      </w:divBdr>
    </w:div>
    <w:div w:id="1962761485">
      <w:bodyDiv w:val="1"/>
      <w:marLeft w:val="0"/>
      <w:marRight w:val="0"/>
      <w:marTop w:val="0"/>
      <w:marBottom w:val="0"/>
      <w:divBdr>
        <w:top w:val="none" w:sz="0" w:space="0" w:color="auto"/>
        <w:left w:val="none" w:sz="0" w:space="0" w:color="auto"/>
        <w:bottom w:val="none" w:sz="0" w:space="0" w:color="auto"/>
        <w:right w:val="none" w:sz="0" w:space="0" w:color="auto"/>
      </w:divBdr>
    </w:div>
    <w:div w:id="19864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7</Pages>
  <Words>10357</Words>
  <Characters>5905</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Онищенко Віталій Володимирович</dc:creator>
  <cp:keywords/>
  <dc:description/>
  <cp:lastModifiedBy>Юрій А. Гриценко</cp:lastModifiedBy>
  <cp:revision>25</cp:revision>
  <cp:lastPrinted>2022-12-01T10:28:00Z</cp:lastPrinted>
  <dcterms:created xsi:type="dcterms:W3CDTF">2023-01-25T05:26:00Z</dcterms:created>
  <dcterms:modified xsi:type="dcterms:W3CDTF">2023-03-22T05:45:00Z</dcterms:modified>
</cp:coreProperties>
</file>