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AAA" w:rsidRPr="00D309E6" w:rsidRDefault="00793AAA" w:rsidP="00D309E6">
      <w:pPr>
        <w:pStyle w:val="docdat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bookmarkStart w:id="0" w:name="_GoBack"/>
      <w:bookmarkEnd w:id="0"/>
      <w:r w:rsidRPr="00D309E6">
        <w:rPr>
          <w:b/>
          <w:bCs/>
          <w:color w:val="000000"/>
          <w:sz w:val="28"/>
          <w:szCs w:val="28"/>
        </w:rPr>
        <w:t>ОКРЕМА ДУМКА</w:t>
      </w:r>
    </w:p>
    <w:p w:rsidR="00793AAA" w:rsidRPr="00D309E6" w:rsidRDefault="00793AAA" w:rsidP="00D309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AA" w:rsidRPr="00D309E6" w:rsidRDefault="00793AAA" w:rsidP="00D309E6">
      <w:pPr>
        <w:jc w:val="both"/>
        <w:rPr>
          <w:rFonts w:eastAsia="Times New Roman"/>
          <w:b/>
          <w:iCs/>
          <w:lang w:eastAsia="ru-RU"/>
        </w:rPr>
      </w:pPr>
      <w:r w:rsidRPr="00D309E6">
        <w:rPr>
          <w:b/>
          <w:bCs/>
          <w:color w:val="000000"/>
        </w:rPr>
        <w:t>судді Конституційного Суду України Олега Первомайського</w:t>
      </w:r>
      <w:r w:rsidR="00D309E6" w:rsidRPr="00D309E6">
        <w:rPr>
          <w:b/>
          <w:bCs/>
          <w:color w:val="000000"/>
        </w:rPr>
        <w:t xml:space="preserve"> </w:t>
      </w:r>
      <w:r w:rsidRPr="00D309E6">
        <w:rPr>
          <w:rFonts w:eastAsia="Times New Roman"/>
          <w:b/>
          <w:lang w:eastAsia="ru-RU"/>
        </w:rPr>
        <w:t xml:space="preserve">у справі за конституційним поданням </w:t>
      </w:r>
      <w:r w:rsidRPr="00D309E6">
        <w:rPr>
          <w:rFonts w:eastAsia="Times New Roman"/>
          <w:b/>
          <w:iCs/>
          <w:lang w:eastAsia="ru-RU"/>
        </w:rPr>
        <w:t xml:space="preserve">51 народного депутата України щодо відповідності Конституції України (конституційності) приписів розділу І, абзацу другого підпункту 1 пункту 2 </w:t>
      </w:r>
      <w:r w:rsidR="00D309E6">
        <w:rPr>
          <w:rFonts w:eastAsia="Times New Roman"/>
          <w:b/>
          <w:iCs/>
          <w:lang w:eastAsia="ru-RU"/>
        </w:rPr>
        <w:t>розділу ІІ Закону України</w:t>
      </w:r>
      <w:r w:rsidR="00D309E6">
        <w:rPr>
          <w:rFonts w:eastAsia="Times New Roman"/>
          <w:b/>
          <w:iCs/>
          <w:lang w:eastAsia="ru-RU"/>
        </w:rPr>
        <w:br/>
      </w:r>
      <w:r w:rsidRPr="00D309E6">
        <w:rPr>
          <w:rFonts w:eastAsia="Times New Roman"/>
          <w:b/>
          <w:iCs/>
          <w:lang w:eastAsia="ru-RU"/>
        </w:rPr>
        <w:t xml:space="preserve">«Про визнання таким, що втратив чинність, Закону України „Про перелік об’єктів права державної власності, </w:t>
      </w:r>
      <w:r w:rsidR="008A6850" w:rsidRPr="00D309E6">
        <w:rPr>
          <w:rFonts w:eastAsia="Times New Roman"/>
          <w:b/>
          <w:iCs/>
          <w:lang w:eastAsia="ru-RU"/>
        </w:rPr>
        <w:t>що не п</w:t>
      </w:r>
      <w:r w:rsidRPr="00D309E6">
        <w:rPr>
          <w:rFonts w:eastAsia="Times New Roman"/>
          <w:b/>
          <w:iCs/>
          <w:lang w:eastAsia="ru-RU"/>
        </w:rPr>
        <w:t>ідлягають</w:t>
      </w:r>
      <w:r w:rsidR="008A6850" w:rsidRPr="00D309E6">
        <w:rPr>
          <w:rFonts w:eastAsia="Times New Roman"/>
          <w:b/>
          <w:iCs/>
          <w:lang w:eastAsia="ru-RU"/>
        </w:rPr>
        <w:t xml:space="preserve"> </w:t>
      </w:r>
      <w:r w:rsidRPr="00D309E6">
        <w:rPr>
          <w:rFonts w:eastAsia="Times New Roman"/>
          <w:b/>
          <w:iCs/>
          <w:lang w:eastAsia="ru-RU"/>
        </w:rPr>
        <w:t>приватизації“»</w:t>
      </w:r>
      <w:r w:rsidR="00D309E6">
        <w:rPr>
          <w:rFonts w:eastAsia="Times New Roman"/>
          <w:b/>
          <w:iCs/>
          <w:lang w:eastAsia="ru-RU"/>
        </w:rPr>
        <w:br/>
      </w:r>
    </w:p>
    <w:p w:rsidR="00793AAA" w:rsidRPr="00D309E6" w:rsidRDefault="00793AAA" w:rsidP="00D309E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3AAA" w:rsidRPr="00D309E6" w:rsidRDefault="00793AAA" w:rsidP="00D309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D309E6">
        <w:rPr>
          <w:color w:val="000000"/>
          <w:sz w:val="28"/>
          <w:szCs w:val="28"/>
        </w:rPr>
        <w:t>Велика палата Конституційного Суду України (далі – Конституційний Суд) 1 жовтня 2024 року ухвалила Ухвалу № 6-уп/2024 (далі</w:t>
      </w:r>
      <w:r w:rsidR="000B69C3" w:rsidRPr="00D309E6">
        <w:rPr>
          <w:color w:val="000000"/>
          <w:sz w:val="28"/>
          <w:szCs w:val="28"/>
        </w:rPr>
        <w:t xml:space="preserve"> </w:t>
      </w:r>
      <w:r w:rsidRPr="00D309E6">
        <w:rPr>
          <w:color w:val="000000"/>
          <w:sz w:val="28"/>
          <w:szCs w:val="28"/>
        </w:rPr>
        <w:t>–</w:t>
      </w:r>
      <w:r w:rsidR="000B69C3" w:rsidRPr="00D309E6">
        <w:rPr>
          <w:color w:val="000000"/>
          <w:sz w:val="28"/>
          <w:szCs w:val="28"/>
        </w:rPr>
        <w:t xml:space="preserve"> </w:t>
      </w:r>
      <w:r w:rsidRPr="00D309E6">
        <w:rPr>
          <w:color w:val="000000"/>
          <w:sz w:val="28"/>
          <w:szCs w:val="28"/>
        </w:rPr>
        <w:t>Ухвала), якою закрила конституційне провадження у справі № 1-293/2019(6991/19) за конституційним поданням 51 народного депутата України щодо відповідності Конституції України (конституційності) приписів розділу І, абзацу другого підпункту 1 пункту 2 розділу ІІ Закону України «Про визнання таким, що втратив чинність, Закону України „Про перелік об’єктів права державної власності, що не підлягають приватизації“».</w:t>
      </w:r>
    </w:p>
    <w:p w:rsidR="00793AAA" w:rsidRPr="00D309E6" w:rsidRDefault="00793AAA" w:rsidP="00D309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D309E6">
        <w:rPr>
          <w:color w:val="000000"/>
          <w:sz w:val="28"/>
          <w:szCs w:val="28"/>
        </w:rPr>
        <w:t xml:space="preserve">На підставі статті 93 Закону України „Про Конституційний Суд України“, </w:t>
      </w:r>
      <w:r w:rsidR="001E6D5B" w:rsidRPr="00D309E6">
        <w:rPr>
          <w:color w:val="000000"/>
          <w:sz w:val="28"/>
          <w:szCs w:val="28"/>
        </w:rPr>
        <w:br/>
      </w:r>
      <w:r w:rsidRPr="00D309E6">
        <w:rPr>
          <w:color w:val="000000"/>
          <w:sz w:val="28"/>
          <w:szCs w:val="28"/>
        </w:rPr>
        <w:t>§ 74 Регламенту Конституційного Суду України вважаю за потрібне викласти окрему думку щодо Ухвали та низки значущих для цього провадження понять та явищ.</w:t>
      </w:r>
    </w:p>
    <w:p w:rsidR="00252048" w:rsidRPr="00D309E6" w:rsidRDefault="00252048" w:rsidP="00D309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52048" w:rsidRPr="00D309E6" w:rsidRDefault="00252048" w:rsidP="00D309E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D309E6">
        <w:rPr>
          <w:b/>
          <w:i/>
          <w:color w:val="000000"/>
          <w:sz w:val="28"/>
          <w:szCs w:val="28"/>
        </w:rPr>
        <w:t>Що ухвалив Конституційний Суд</w:t>
      </w:r>
    </w:p>
    <w:p w:rsidR="00793AAA" w:rsidRPr="00D309E6" w:rsidRDefault="00793AAA" w:rsidP="00D309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</w:p>
    <w:p w:rsidR="00252048" w:rsidRPr="00D309E6" w:rsidRDefault="00252048" w:rsidP="00D309E6">
      <w:pPr>
        <w:shd w:val="clear" w:color="auto" w:fill="FFFFFF"/>
        <w:spacing w:line="360" w:lineRule="auto"/>
        <w:ind w:firstLine="567"/>
        <w:jc w:val="both"/>
        <w:rPr>
          <w:rFonts w:eastAsia="Calibri"/>
        </w:rPr>
      </w:pPr>
      <w:r w:rsidRPr="00D309E6">
        <w:rPr>
          <w:rFonts w:eastAsia="Calibri"/>
        </w:rPr>
        <w:t xml:space="preserve">1. </w:t>
      </w:r>
      <w:r w:rsidRPr="00D309E6">
        <w:rPr>
          <w:color w:val="000000"/>
        </w:rPr>
        <w:t>Конституційний Суд</w:t>
      </w:r>
      <w:r w:rsidRPr="00D309E6">
        <w:rPr>
          <w:b/>
          <w:i/>
          <w:color w:val="000000"/>
        </w:rPr>
        <w:t xml:space="preserve"> </w:t>
      </w:r>
      <w:r w:rsidRPr="00D309E6">
        <w:rPr>
          <w:rFonts w:eastAsia="Calibri"/>
        </w:rPr>
        <w:t>закрив конституційне пров</w:t>
      </w:r>
      <w:r w:rsidR="00F97A8C" w:rsidRPr="00D309E6">
        <w:rPr>
          <w:rFonts w:eastAsia="Calibri"/>
        </w:rPr>
        <w:t>адження у справі за двома різними підставами</w:t>
      </w:r>
      <w:r w:rsidRPr="00D309E6">
        <w:rPr>
          <w:rFonts w:eastAsia="Calibri"/>
        </w:rPr>
        <w:t xml:space="preserve">: </w:t>
      </w:r>
    </w:p>
    <w:p w:rsidR="00252048" w:rsidRPr="00D309E6" w:rsidRDefault="000B69C3" w:rsidP="00D309E6">
      <w:pPr>
        <w:shd w:val="clear" w:color="auto" w:fill="FFFFFF"/>
        <w:spacing w:line="360" w:lineRule="auto"/>
        <w:ind w:firstLine="567"/>
        <w:jc w:val="both"/>
        <w:rPr>
          <w:rFonts w:eastAsia="Calibri"/>
        </w:rPr>
      </w:pPr>
      <w:r w:rsidRPr="00D309E6">
        <w:rPr>
          <w:color w:val="000000"/>
        </w:rPr>
        <w:t>–</w:t>
      </w:r>
      <w:r w:rsidR="00252048" w:rsidRPr="00D309E6">
        <w:rPr>
          <w:rFonts w:eastAsia="Calibri"/>
        </w:rPr>
        <w:t xml:space="preserve"> </w:t>
      </w:r>
      <w:r w:rsidR="00F97A8C" w:rsidRPr="00D309E6">
        <w:rPr>
          <w:rFonts w:eastAsia="Calibri"/>
        </w:rPr>
        <w:t xml:space="preserve">щодо відповідності Конституції України </w:t>
      </w:r>
      <w:r w:rsidR="00252048" w:rsidRPr="00D309E6">
        <w:rPr>
          <w:rFonts w:eastAsia="Calibri"/>
        </w:rPr>
        <w:t xml:space="preserve">припису розділу І Закону України «Про визнання таким, що втратив чинність, Закону України „Про перелік об’єктів права державної власності, </w:t>
      </w:r>
      <w:r w:rsidR="00D309E6">
        <w:rPr>
          <w:rFonts w:eastAsia="Calibri"/>
        </w:rPr>
        <w:t>що не підлягають приватизації“»</w:t>
      </w:r>
      <w:r w:rsidR="00D309E6">
        <w:rPr>
          <w:rFonts w:eastAsia="Calibri"/>
        </w:rPr>
        <w:br/>
      </w:r>
      <w:r w:rsidR="00252048" w:rsidRPr="00D309E6">
        <w:rPr>
          <w:rFonts w:eastAsia="Calibri"/>
        </w:rPr>
        <w:t>від 2 жовтня 2019 року № 145–IX (далі –</w:t>
      </w:r>
      <w:r w:rsidR="00F97A8C" w:rsidRPr="00D309E6">
        <w:rPr>
          <w:rFonts w:eastAsia="Calibri"/>
        </w:rPr>
        <w:t xml:space="preserve"> </w:t>
      </w:r>
      <w:r w:rsidR="00252048" w:rsidRPr="00D309E6">
        <w:rPr>
          <w:rFonts w:eastAsia="Calibri"/>
        </w:rPr>
        <w:t>Закон</w:t>
      </w:r>
      <w:r w:rsidR="00955171" w:rsidRPr="00D309E6">
        <w:rPr>
          <w:rFonts w:eastAsia="Calibri"/>
        </w:rPr>
        <w:t xml:space="preserve"> № 145</w:t>
      </w:r>
      <w:r w:rsidR="00252048" w:rsidRPr="00D309E6">
        <w:rPr>
          <w:rFonts w:eastAsia="Calibri"/>
        </w:rPr>
        <w:t xml:space="preserve">) </w:t>
      </w:r>
      <w:r w:rsidR="00D309E6">
        <w:rPr>
          <w:rFonts w:eastAsia="Calibri"/>
        </w:rPr>
        <w:t>на підставі пункту 2</w:t>
      </w:r>
      <w:r w:rsidR="00D309E6">
        <w:rPr>
          <w:rFonts w:eastAsia="Calibri"/>
        </w:rPr>
        <w:br/>
      </w:r>
      <w:r w:rsidR="00252048" w:rsidRPr="00D309E6">
        <w:rPr>
          <w:rFonts w:eastAsia="Calibri"/>
        </w:rPr>
        <w:t>статті 62 Закону України „Про Конституційний Суд України“</w:t>
      </w:r>
      <w:r w:rsidR="00120C5D" w:rsidRPr="00D309E6">
        <w:rPr>
          <w:rFonts w:eastAsia="Calibri"/>
        </w:rPr>
        <w:t xml:space="preserve"> </w:t>
      </w:r>
      <w:r w:rsidR="00252048" w:rsidRPr="00D309E6">
        <w:rPr>
          <w:rFonts w:eastAsia="Calibri"/>
        </w:rPr>
        <w:t>– неналежність до повноважень Конституційного Суду України питань, порушених у конституційному поданні;</w:t>
      </w:r>
    </w:p>
    <w:p w:rsidR="00252048" w:rsidRPr="00D309E6" w:rsidRDefault="000B69C3" w:rsidP="00D309E6">
      <w:pPr>
        <w:shd w:val="clear" w:color="auto" w:fill="FFFFFF"/>
        <w:spacing w:line="360" w:lineRule="auto"/>
        <w:ind w:firstLine="567"/>
        <w:jc w:val="both"/>
        <w:rPr>
          <w:rFonts w:eastAsia="Calibri"/>
        </w:rPr>
      </w:pPr>
      <w:r w:rsidRPr="00D309E6">
        <w:rPr>
          <w:color w:val="000000"/>
        </w:rPr>
        <w:t>–</w:t>
      </w:r>
      <w:r w:rsidR="00252048" w:rsidRPr="00D309E6">
        <w:rPr>
          <w:rFonts w:eastAsia="Calibri"/>
        </w:rPr>
        <w:t xml:space="preserve"> </w:t>
      </w:r>
      <w:r w:rsidR="007C5AEF" w:rsidRPr="00D309E6">
        <w:rPr>
          <w:rFonts w:eastAsia="Calibri"/>
        </w:rPr>
        <w:t xml:space="preserve">щодо відповідності Конституції України </w:t>
      </w:r>
      <w:r w:rsidR="00252048" w:rsidRPr="00D309E6">
        <w:rPr>
          <w:rFonts w:eastAsia="Calibri"/>
        </w:rPr>
        <w:t>припису абзацу другого підпункту 1 пункту 2 розділу ІІ Закону на підставі пункту 3 статті 62 Закону України „</w:t>
      </w:r>
      <w:r w:rsidR="00AD4096" w:rsidRPr="00D309E6">
        <w:rPr>
          <w:rFonts w:eastAsia="Calibri"/>
        </w:rPr>
        <w:t>Про Конституційний Суд України“</w:t>
      </w:r>
      <w:r w:rsidR="00D309E6" w:rsidRPr="00D309E6">
        <w:rPr>
          <w:rFonts w:eastAsia="Calibri"/>
        </w:rPr>
        <w:t xml:space="preserve"> </w:t>
      </w:r>
      <w:r w:rsidR="00252048" w:rsidRPr="00D309E6">
        <w:rPr>
          <w:rFonts w:eastAsia="Calibri"/>
        </w:rPr>
        <w:t>– невідповідність конституційного подання вимогам, передбаченим цим законом.</w:t>
      </w:r>
    </w:p>
    <w:p w:rsidR="00120C5D" w:rsidRPr="00D309E6" w:rsidRDefault="00120C5D" w:rsidP="00D309E6">
      <w:pPr>
        <w:shd w:val="clear" w:color="auto" w:fill="FFFFFF"/>
        <w:spacing w:line="360" w:lineRule="auto"/>
        <w:ind w:firstLine="567"/>
        <w:jc w:val="both"/>
        <w:rPr>
          <w:rFonts w:eastAsia="Calibri"/>
        </w:rPr>
      </w:pPr>
    </w:p>
    <w:p w:rsidR="00120C5D" w:rsidRPr="00D309E6" w:rsidRDefault="00120C5D" w:rsidP="00D309E6">
      <w:pPr>
        <w:shd w:val="clear" w:color="auto" w:fill="FFFFFF"/>
        <w:spacing w:line="360" w:lineRule="auto"/>
        <w:ind w:firstLine="567"/>
        <w:jc w:val="both"/>
        <w:rPr>
          <w:rFonts w:eastAsia="Times New Roman"/>
          <w:i/>
          <w:strike/>
          <w:lang w:eastAsia="uk-UA"/>
        </w:rPr>
      </w:pPr>
      <w:r w:rsidRPr="00D309E6">
        <w:rPr>
          <w:rFonts w:eastAsia="Calibri"/>
        </w:rPr>
        <w:t xml:space="preserve">2. Мотивуючи Ухвалу </w:t>
      </w:r>
      <w:r w:rsidR="00955171" w:rsidRPr="00D309E6">
        <w:rPr>
          <w:rFonts w:eastAsia="Calibri"/>
        </w:rPr>
        <w:t xml:space="preserve">в частині закриття конституційного провадження </w:t>
      </w:r>
      <w:r w:rsidR="007C5AEF" w:rsidRPr="00D309E6">
        <w:rPr>
          <w:rFonts w:eastAsia="Calibri"/>
        </w:rPr>
        <w:t xml:space="preserve">у справі </w:t>
      </w:r>
      <w:r w:rsidR="00955171" w:rsidRPr="00D309E6">
        <w:rPr>
          <w:rFonts w:eastAsia="Calibri"/>
        </w:rPr>
        <w:t xml:space="preserve">щодо </w:t>
      </w:r>
      <w:r w:rsidR="007C5AEF" w:rsidRPr="00D309E6">
        <w:rPr>
          <w:rFonts w:eastAsia="Calibri"/>
        </w:rPr>
        <w:t xml:space="preserve">відповідності Конституції України </w:t>
      </w:r>
      <w:r w:rsidR="00955171" w:rsidRPr="00D309E6">
        <w:rPr>
          <w:rFonts w:eastAsia="Calibri"/>
        </w:rPr>
        <w:t xml:space="preserve">припису розділу І Закону № 145, </w:t>
      </w:r>
      <w:r w:rsidRPr="00D309E6">
        <w:rPr>
          <w:rFonts w:eastAsia="Times New Roman"/>
          <w:lang w:eastAsia="ru-RU"/>
        </w:rPr>
        <w:t>Конституційний Суд</w:t>
      </w:r>
      <w:r w:rsidR="005562D0" w:rsidRPr="00D309E6">
        <w:rPr>
          <w:rFonts w:eastAsia="Times New Roman"/>
          <w:lang w:eastAsia="ru-RU"/>
        </w:rPr>
        <w:t>,</w:t>
      </w:r>
      <w:r w:rsidRPr="00D309E6">
        <w:rPr>
          <w:rFonts w:eastAsia="Times New Roman"/>
          <w:lang w:eastAsia="ru-RU"/>
        </w:rPr>
        <w:t xml:space="preserve"> </w:t>
      </w:r>
      <w:r w:rsidR="00FD3E0E" w:rsidRPr="00D309E6">
        <w:rPr>
          <w:rFonts w:eastAsia="Times New Roman"/>
          <w:lang w:eastAsia="ru-RU"/>
        </w:rPr>
        <w:t xml:space="preserve">зокрема, </w:t>
      </w:r>
      <w:r w:rsidR="007C5AEF" w:rsidRPr="00D309E6">
        <w:rPr>
          <w:rFonts w:eastAsia="Times New Roman"/>
          <w:lang w:eastAsia="ru-RU"/>
        </w:rPr>
        <w:t>вказав</w:t>
      </w:r>
      <w:r w:rsidR="00FD3E0E" w:rsidRPr="00D309E6">
        <w:rPr>
          <w:rFonts w:eastAsia="Times New Roman"/>
          <w:lang w:eastAsia="ru-RU"/>
        </w:rPr>
        <w:t>, що «</w:t>
      </w:r>
      <w:r w:rsidRPr="00D309E6">
        <w:rPr>
          <w:rFonts w:eastAsia="Times New Roman"/>
          <w:i/>
          <w:lang w:eastAsia="uk-UA"/>
        </w:rPr>
        <w:t xml:space="preserve">автори клопотання, твердячи про неконституційність </w:t>
      </w:r>
      <w:r w:rsidRPr="00D309E6">
        <w:rPr>
          <w:rFonts w:eastAsia="Times New Roman"/>
          <w:bCs/>
          <w:i/>
          <w:lang w:eastAsia="uk-UA"/>
        </w:rPr>
        <w:t xml:space="preserve">припису </w:t>
      </w:r>
      <w:r w:rsidRPr="00D309E6">
        <w:rPr>
          <w:rFonts w:eastAsia="Times New Roman"/>
          <w:i/>
          <w:lang w:eastAsia="uk-UA"/>
        </w:rPr>
        <w:t>розділу І Закону № 145, фактично порушують питання про наявність законодавчої прогалини, спричиненої тим, що Верховна Рада України не затвердила переліку</w:t>
      </w:r>
      <w:r w:rsidRPr="00D309E6">
        <w:rPr>
          <w:rFonts w:eastAsia="Times New Roman"/>
          <w:i/>
        </w:rPr>
        <w:t xml:space="preserve"> об’єктів права державної власності, які не підлягають приватизації</w:t>
      </w:r>
      <w:r w:rsidRPr="00D309E6">
        <w:rPr>
          <w:rFonts w:eastAsia="Times New Roman"/>
          <w:bCs/>
          <w:i/>
          <w:lang w:eastAsia="uk-UA"/>
        </w:rPr>
        <w:t>.</w:t>
      </w:r>
      <w:r w:rsidRPr="00D309E6">
        <w:rPr>
          <w:rFonts w:eastAsia="Times New Roman"/>
          <w:i/>
          <w:lang w:eastAsia="uk-UA"/>
        </w:rPr>
        <w:t xml:space="preserve"> </w:t>
      </w:r>
    </w:p>
    <w:p w:rsidR="005C1FE9" w:rsidRPr="00D309E6" w:rsidRDefault="00120C5D" w:rsidP="00D309E6">
      <w:pPr>
        <w:spacing w:line="360" w:lineRule="auto"/>
        <w:ind w:firstLine="567"/>
        <w:jc w:val="both"/>
        <w:rPr>
          <w:color w:val="000000"/>
        </w:rPr>
      </w:pPr>
      <w:r w:rsidRPr="00D309E6">
        <w:rPr>
          <w:rFonts w:eastAsia="Times New Roman"/>
          <w:i/>
          <w:lang w:eastAsia="ru-RU"/>
        </w:rPr>
        <w:t>Велика палата Конституційного Суду України зазначає, що Конституційний Суд України вже розглядав</w:t>
      </w:r>
      <w:r w:rsidRPr="00D309E6">
        <w:rPr>
          <w:bCs/>
          <w:i/>
        </w:rPr>
        <w:t xml:space="preserve"> питання щодо законодавчого упущення (</w:t>
      </w:r>
      <w:proofErr w:type="spellStart"/>
      <w:r w:rsidRPr="00D309E6">
        <w:rPr>
          <w:bCs/>
          <w:i/>
        </w:rPr>
        <w:t>legislative</w:t>
      </w:r>
      <w:proofErr w:type="spellEnd"/>
      <w:r w:rsidRPr="00D309E6">
        <w:rPr>
          <w:bCs/>
          <w:i/>
        </w:rPr>
        <w:t xml:space="preserve"> </w:t>
      </w:r>
      <w:proofErr w:type="spellStart"/>
      <w:r w:rsidRPr="00D309E6">
        <w:rPr>
          <w:bCs/>
          <w:i/>
        </w:rPr>
        <w:t>omission</w:t>
      </w:r>
      <w:proofErr w:type="spellEnd"/>
      <w:r w:rsidRPr="00D309E6">
        <w:rPr>
          <w:bCs/>
          <w:i/>
        </w:rPr>
        <w:t xml:space="preserve">), яке </w:t>
      </w:r>
      <w:r w:rsidRPr="00D309E6">
        <w:rPr>
          <w:bCs/>
          <w:i/>
          <w:lang w:eastAsia="uk-UA"/>
        </w:rPr>
        <w:t>„</w:t>
      </w:r>
      <w:r w:rsidRPr="00D309E6">
        <w:rPr>
          <w:bCs/>
          <w:i/>
        </w:rPr>
        <w:t>є не звичайною законодавчою прогалиною (лакуною)</w:t>
      </w:r>
      <w:r w:rsidRPr="00D309E6">
        <w:rPr>
          <w:bCs/>
          <w:i/>
          <w:lang w:eastAsia="uk-UA"/>
        </w:rPr>
        <w:t>“</w:t>
      </w:r>
      <w:r w:rsidRPr="00D309E6">
        <w:rPr>
          <w:bCs/>
          <w:i/>
        </w:rPr>
        <w:t xml:space="preserve">, а </w:t>
      </w:r>
      <w:r w:rsidRPr="00D309E6">
        <w:rPr>
          <w:bCs/>
          <w:i/>
          <w:lang w:eastAsia="uk-UA"/>
        </w:rPr>
        <w:t>„</w:t>
      </w:r>
      <w:r w:rsidRPr="00D309E6">
        <w:rPr>
          <w:bCs/>
          <w:i/>
        </w:rPr>
        <w:t>є порушенням Конституції України</w:t>
      </w:r>
      <w:r w:rsidRPr="00D309E6">
        <w:rPr>
          <w:bCs/>
          <w:i/>
          <w:lang w:eastAsia="uk-UA"/>
        </w:rPr>
        <w:t xml:space="preserve">“ </w:t>
      </w:r>
      <w:r w:rsidR="00D309E6">
        <w:rPr>
          <w:bCs/>
          <w:i/>
        </w:rPr>
        <w:t>(абзац перший</w:t>
      </w:r>
      <w:r w:rsidR="00D309E6">
        <w:rPr>
          <w:bCs/>
          <w:i/>
        </w:rPr>
        <w:br/>
      </w:r>
      <w:r w:rsidRPr="00D309E6">
        <w:rPr>
          <w:bCs/>
          <w:i/>
        </w:rPr>
        <w:t xml:space="preserve">підпункту 5.7 пункту 5 мотивувальної частини Рішення від 23 грудня 2022 року № 3-р/2022). Проте не є таким законодавчим упущенням </w:t>
      </w:r>
      <w:r w:rsidRPr="00D309E6">
        <w:rPr>
          <w:rFonts w:eastAsia="Times New Roman"/>
          <w:i/>
          <w:lang w:eastAsia="uk-UA"/>
        </w:rPr>
        <w:t>та не може бути перевірено на відповідність Конституції України (конституційність) відсутність затвердженого законодавцем переліку</w:t>
      </w:r>
      <w:r w:rsidRPr="00D309E6">
        <w:rPr>
          <w:rFonts w:eastAsia="Times New Roman"/>
          <w:i/>
        </w:rPr>
        <w:t xml:space="preserve"> об’єктів права державної власності, що не підлягають приватизації</w:t>
      </w:r>
      <w:r w:rsidRPr="00D309E6">
        <w:rPr>
          <w:rFonts w:eastAsia="Times New Roman"/>
          <w:i/>
          <w:lang w:eastAsia="ru-RU"/>
        </w:rPr>
        <w:t xml:space="preserve">. Зазначене вказує лише на те, що законодавець не реалізував свого конституційного повноваження, визначеного </w:t>
      </w:r>
      <w:r w:rsidRPr="00D309E6">
        <w:rPr>
          <w:rFonts w:eastAsia="Times New Roman"/>
          <w:bCs/>
          <w:i/>
          <w:lang w:eastAsia="uk-UA"/>
        </w:rPr>
        <w:t>пунктом 36 частини першої</w:t>
      </w:r>
      <w:r w:rsidR="006A6698" w:rsidRPr="00D309E6">
        <w:rPr>
          <w:rFonts w:eastAsia="Times New Roman"/>
          <w:bCs/>
          <w:i/>
          <w:lang w:eastAsia="uk-UA"/>
        </w:rPr>
        <w:t xml:space="preserve"> </w:t>
      </w:r>
      <w:r w:rsidRPr="00D309E6">
        <w:rPr>
          <w:rFonts w:eastAsia="Times New Roman"/>
          <w:bCs/>
          <w:i/>
          <w:lang w:eastAsia="uk-UA"/>
        </w:rPr>
        <w:t>статті 85 Конституції України</w:t>
      </w:r>
      <w:r w:rsidR="00FD3E0E" w:rsidRPr="00D309E6">
        <w:rPr>
          <w:color w:val="000000"/>
        </w:rPr>
        <w:t>»</w:t>
      </w:r>
      <w:r w:rsidR="005C1FE9" w:rsidRPr="00D309E6">
        <w:rPr>
          <w:color w:val="000000"/>
        </w:rPr>
        <w:t>(абзаци ш</w:t>
      </w:r>
      <w:r w:rsidR="00FD3E0E" w:rsidRPr="00D309E6">
        <w:rPr>
          <w:color w:val="000000"/>
        </w:rPr>
        <w:t>остий, сьомий під</w:t>
      </w:r>
      <w:r w:rsidR="005C1FE9" w:rsidRPr="00D309E6">
        <w:rPr>
          <w:color w:val="000000"/>
        </w:rPr>
        <w:t>пункту 4.2</w:t>
      </w:r>
      <w:r w:rsidR="00FD3E0E" w:rsidRPr="00D309E6">
        <w:rPr>
          <w:color w:val="000000"/>
        </w:rPr>
        <w:t xml:space="preserve"> пункту 4</w:t>
      </w:r>
      <w:r w:rsidR="005C1FE9" w:rsidRPr="00D309E6">
        <w:rPr>
          <w:color w:val="000000"/>
        </w:rPr>
        <w:t xml:space="preserve"> мотивувальної частини).</w:t>
      </w:r>
    </w:p>
    <w:p w:rsidR="00955171" w:rsidRPr="00D309E6" w:rsidRDefault="00955171" w:rsidP="00D309E6">
      <w:pPr>
        <w:spacing w:line="360" w:lineRule="auto"/>
        <w:ind w:firstLine="567"/>
        <w:jc w:val="both"/>
        <w:rPr>
          <w:rFonts w:eastAsia="Times New Roman"/>
          <w:lang w:eastAsia="uk-UA"/>
        </w:rPr>
      </w:pPr>
    </w:p>
    <w:p w:rsidR="00E251FE" w:rsidRPr="00D309E6" w:rsidRDefault="00955171" w:rsidP="00D309E6">
      <w:pPr>
        <w:spacing w:line="360" w:lineRule="auto"/>
        <w:ind w:firstLine="567"/>
        <w:jc w:val="both"/>
        <w:rPr>
          <w:color w:val="000000"/>
        </w:rPr>
      </w:pPr>
      <w:r w:rsidRPr="00D309E6">
        <w:rPr>
          <w:rFonts w:eastAsia="Times New Roman"/>
          <w:lang w:eastAsia="uk-UA"/>
        </w:rPr>
        <w:t xml:space="preserve">3. Закриваючи </w:t>
      </w:r>
      <w:r w:rsidRPr="00D309E6">
        <w:rPr>
          <w:rFonts w:eastAsia="Calibri"/>
        </w:rPr>
        <w:t xml:space="preserve">конституційне провадження </w:t>
      </w:r>
      <w:r w:rsidR="007C5AEF" w:rsidRPr="00D309E6">
        <w:rPr>
          <w:rFonts w:eastAsia="Calibri"/>
        </w:rPr>
        <w:t xml:space="preserve">у справі щодо відповідності Конституції України </w:t>
      </w:r>
      <w:r w:rsidRPr="00D309E6">
        <w:rPr>
          <w:rFonts w:eastAsia="Calibri"/>
        </w:rPr>
        <w:t>припису абзацу другого підпункту 1 пункту 2 розділу ІІ Закону №145</w:t>
      </w:r>
      <w:r w:rsidR="007C5AEF" w:rsidRPr="00D309E6">
        <w:rPr>
          <w:rFonts w:eastAsia="Calibri"/>
        </w:rPr>
        <w:t>,</w:t>
      </w:r>
      <w:r w:rsidRPr="00D309E6">
        <w:rPr>
          <w:rFonts w:eastAsia="Calibri"/>
        </w:rPr>
        <w:t xml:space="preserve"> </w:t>
      </w:r>
      <w:r w:rsidRPr="00D309E6">
        <w:rPr>
          <w:rFonts w:eastAsia="Times New Roman"/>
          <w:lang w:eastAsia="ru-RU"/>
        </w:rPr>
        <w:t xml:space="preserve">Конституційний Суд, зокрема, дійшов висновку, що </w:t>
      </w:r>
      <w:r w:rsidR="00E251FE" w:rsidRPr="00D309E6">
        <w:rPr>
          <w:color w:val="000000"/>
        </w:rPr>
        <w:t>„</w:t>
      </w:r>
      <w:r w:rsidR="00E251FE" w:rsidRPr="00D309E6">
        <w:rPr>
          <w:rFonts w:eastAsia="Times New Roman"/>
          <w:i/>
          <w:lang w:eastAsia="uk-UA"/>
        </w:rPr>
        <w:t>автори клопотання, твердячи про невідповідність припису абзацу другого</w:t>
      </w:r>
      <w:r w:rsidR="00E251FE" w:rsidRPr="00D309E6">
        <w:rPr>
          <w:rFonts w:eastAsia="Times New Roman"/>
          <w:i/>
          <w:iCs/>
          <w:lang w:eastAsia="uk-UA"/>
        </w:rPr>
        <w:t xml:space="preserve"> підпункту 1 пункту 2 розділу ІІ Закону № 145 приписам частини четвертої статті 13,</w:t>
      </w:r>
      <w:r w:rsidRPr="00D309E6">
        <w:rPr>
          <w:rFonts w:eastAsia="Times New Roman"/>
          <w:i/>
          <w:iCs/>
          <w:lang w:eastAsia="uk-UA"/>
        </w:rPr>
        <w:t xml:space="preserve"> </w:t>
      </w:r>
      <w:r w:rsidR="00E251FE" w:rsidRPr="00D309E6">
        <w:rPr>
          <w:rFonts w:eastAsia="Times New Roman"/>
          <w:i/>
          <w:iCs/>
          <w:lang w:eastAsia="uk-UA"/>
        </w:rPr>
        <w:t xml:space="preserve">частини першої статті 17 Конституції України, фактично обмежились зіставленням указаного припису Закону № 145 з іншими приписами законодавства України щодо питань регулювання статусу національного оператора поштового зв’язку ˂...˃ без аргументації невідповідності </w:t>
      </w:r>
      <w:r w:rsidR="007D1D66" w:rsidRPr="00D309E6">
        <w:rPr>
          <w:rFonts w:eastAsia="Times New Roman"/>
          <w:i/>
          <w:lang w:eastAsia="uk-UA"/>
        </w:rPr>
        <w:t>Конституції України</w:t>
      </w:r>
      <w:r w:rsidR="00E251FE" w:rsidRPr="00D309E6">
        <w:rPr>
          <w:rFonts w:eastAsia="Calibri"/>
        </w:rPr>
        <w:t xml:space="preserve">“ </w:t>
      </w:r>
      <w:r w:rsidR="00E251FE" w:rsidRPr="00D309E6">
        <w:rPr>
          <w:color w:val="000000"/>
        </w:rPr>
        <w:t xml:space="preserve">(абзац перший пункту 5.1 </w:t>
      </w:r>
      <w:r w:rsidR="004C279A" w:rsidRPr="00D309E6">
        <w:rPr>
          <w:color w:val="000000"/>
        </w:rPr>
        <w:t xml:space="preserve">пункту 5 </w:t>
      </w:r>
      <w:r w:rsidR="00E251FE" w:rsidRPr="00D309E6">
        <w:rPr>
          <w:color w:val="000000"/>
        </w:rPr>
        <w:t>мотивувальної частини).</w:t>
      </w:r>
    </w:p>
    <w:p w:rsidR="004016C0" w:rsidRPr="00D309E6" w:rsidRDefault="00955171" w:rsidP="00D309E6">
      <w:pPr>
        <w:spacing w:line="360" w:lineRule="auto"/>
        <w:ind w:firstLine="567"/>
        <w:jc w:val="both"/>
        <w:rPr>
          <w:color w:val="000000"/>
        </w:rPr>
      </w:pPr>
      <w:r w:rsidRPr="00D309E6">
        <w:rPr>
          <w:rFonts w:eastAsia="Times New Roman"/>
          <w:lang w:eastAsia="uk-UA"/>
        </w:rPr>
        <w:t>Крім того, на думку Конституційного Суду</w:t>
      </w:r>
      <w:r w:rsidR="004016C0" w:rsidRPr="00D309E6">
        <w:rPr>
          <w:rFonts w:eastAsia="Times New Roman"/>
          <w:lang w:eastAsia="uk-UA"/>
        </w:rPr>
        <w:t xml:space="preserve"> суб’єкт права на конституційне подання </w:t>
      </w:r>
      <w:r w:rsidR="004016C0" w:rsidRPr="00D309E6">
        <w:rPr>
          <w:rFonts w:eastAsia="Times New Roman"/>
          <w:iCs/>
          <w:lang w:eastAsia="uk-UA"/>
        </w:rPr>
        <w:t xml:space="preserve">висловив </w:t>
      </w:r>
      <w:r w:rsidR="004016C0" w:rsidRPr="00D309E6">
        <w:rPr>
          <w:rFonts w:eastAsia="Times New Roman"/>
          <w:lang w:eastAsia="uk-UA"/>
        </w:rPr>
        <w:t xml:space="preserve">припущення, що втрата Укрпоштою статусу національного оператора поштового </w:t>
      </w:r>
      <w:proofErr w:type="spellStart"/>
      <w:r w:rsidR="004016C0" w:rsidRPr="00D309E6">
        <w:rPr>
          <w:rFonts w:eastAsia="Times New Roman"/>
          <w:lang w:eastAsia="uk-UA"/>
        </w:rPr>
        <w:t>звʼязку</w:t>
      </w:r>
      <w:proofErr w:type="spellEnd"/>
      <w:r w:rsidR="004016C0" w:rsidRPr="00D309E6">
        <w:rPr>
          <w:rFonts w:eastAsia="Times New Roman"/>
          <w:lang w:eastAsia="uk-UA"/>
        </w:rPr>
        <w:t xml:space="preserve">, який не підлягає приватизації </w:t>
      </w:r>
      <w:r w:rsidR="003232DD" w:rsidRPr="00D309E6">
        <w:rPr>
          <w:rFonts w:eastAsia="Calibri"/>
        </w:rPr>
        <w:t>„</w:t>
      </w:r>
      <w:r w:rsidR="004016C0" w:rsidRPr="00D309E6">
        <w:rPr>
          <w:rFonts w:eastAsia="Times New Roman"/>
          <w:i/>
          <w:lang w:eastAsia="uk-UA"/>
        </w:rPr>
        <w:t>стало передумовою для можливого відчуження майна цього суб’єкта господарювання, яке на сьогодні знаходиться в державній власності, на користь фізичних чи юридичних осіб, що унеможливить надання якісних поштових послуг на всій території України за доступними цінами“</w:t>
      </w:r>
      <w:r w:rsidR="003232DD" w:rsidRPr="00D309E6">
        <w:rPr>
          <w:rFonts w:eastAsia="Times New Roman"/>
          <w:i/>
          <w:lang w:eastAsia="uk-UA"/>
        </w:rPr>
        <w:t xml:space="preserve">. </w:t>
      </w:r>
      <w:r w:rsidR="003232DD" w:rsidRPr="00D309E6">
        <w:rPr>
          <w:rFonts w:eastAsia="Times New Roman"/>
          <w:lang w:eastAsia="uk-UA"/>
        </w:rPr>
        <w:t xml:space="preserve">Однак </w:t>
      </w:r>
      <w:r w:rsidR="003232DD" w:rsidRPr="00D309E6">
        <w:rPr>
          <w:rFonts w:eastAsia="Calibri"/>
        </w:rPr>
        <w:t>„</w:t>
      </w:r>
      <w:r w:rsidR="003232DD" w:rsidRPr="00D309E6">
        <w:rPr>
          <w:rFonts w:eastAsia="Times New Roman"/>
          <w:i/>
          <w:iCs/>
          <w:lang w:eastAsia="uk-UA"/>
        </w:rPr>
        <w:t>припущення не можна вважати аргументами на підтвердження неконституційності правових актів чи їх окремих приписів</w:t>
      </w:r>
      <w:r w:rsidR="003232DD" w:rsidRPr="00D309E6">
        <w:rPr>
          <w:rFonts w:eastAsia="Times New Roman"/>
          <w:i/>
          <w:lang w:eastAsia="uk-UA"/>
        </w:rPr>
        <w:t>“</w:t>
      </w:r>
      <w:r w:rsidR="004016C0" w:rsidRPr="00D309E6">
        <w:rPr>
          <w:rFonts w:eastAsia="Times New Roman"/>
          <w:i/>
          <w:lang w:eastAsia="uk-UA"/>
        </w:rPr>
        <w:t xml:space="preserve"> </w:t>
      </w:r>
      <w:r w:rsidR="004016C0" w:rsidRPr="00D309E6">
        <w:rPr>
          <w:color w:val="000000"/>
        </w:rPr>
        <w:t xml:space="preserve">(абзац другий пункту 5.1 </w:t>
      </w:r>
      <w:r w:rsidR="00943499" w:rsidRPr="00D309E6">
        <w:rPr>
          <w:color w:val="000000"/>
        </w:rPr>
        <w:t xml:space="preserve">пункту 5 </w:t>
      </w:r>
      <w:r w:rsidR="004016C0" w:rsidRPr="00D309E6">
        <w:rPr>
          <w:color w:val="000000"/>
        </w:rPr>
        <w:t>мотивувальної частини).</w:t>
      </w:r>
    </w:p>
    <w:p w:rsidR="004016C0" w:rsidRPr="00D309E6" w:rsidRDefault="004016C0" w:rsidP="00D309E6">
      <w:pPr>
        <w:spacing w:line="360" w:lineRule="auto"/>
        <w:ind w:firstLine="567"/>
        <w:jc w:val="both"/>
        <w:rPr>
          <w:rFonts w:eastAsia="Calibri"/>
        </w:rPr>
      </w:pPr>
    </w:p>
    <w:p w:rsidR="00793AAA" w:rsidRPr="00D309E6" w:rsidRDefault="00943499" w:rsidP="00D309E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D309E6">
        <w:rPr>
          <w:b/>
          <w:i/>
          <w:color w:val="000000"/>
          <w:sz w:val="28"/>
          <w:szCs w:val="28"/>
        </w:rPr>
        <w:t>Мотивування незгоди з Ухвалою</w:t>
      </w:r>
    </w:p>
    <w:p w:rsidR="00592F1B" w:rsidRPr="00D309E6" w:rsidRDefault="00592F1B" w:rsidP="00D309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i/>
          <w:color w:val="000000"/>
          <w:sz w:val="28"/>
          <w:szCs w:val="28"/>
        </w:rPr>
      </w:pPr>
    </w:p>
    <w:p w:rsidR="004B54E2" w:rsidRPr="00D309E6" w:rsidRDefault="004B54E2" w:rsidP="00D309E6">
      <w:pPr>
        <w:spacing w:line="360" w:lineRule="auto"/>
        <w:ind w:firstLine="567"/>
        <w:jc w:val="both"/>
        <w:rPr>
          <w:rFonts w:eastAsia="Calibri"/>
        </w:rPr>
      </w:pPr>
      <w:r w:rsidRPr="00D309E6">
        <w:rPr>
          <w:bCs/>
        </w:rPr>
        <w:t xml:space="preserve">4. Незгода </w:t>
      </w:r>
      <w:r w:rsidR="00D30E09" w:rsidRPr="00D309E6">
        <w:rPr>
          <w:bCs/>
        </w:rPr>
        <w:t>і</w:t>
      </w:r>
      <w:r w:rsidRPr="00D309E6">
        <w:rPr>
          <w:bCs/>
        </w:rPr>
        <w:t xml:space="preserve">з </w:t>
      </w:r>
      <w:r w:rsidRPr="00D309E6">
        <w:rPr>
          <w:rFonts w:eastAsia="Calibri"/>
        </w:rPr>
        <w:t xml:space="preserve">закриттям конституційного провадження </w:t>
      </w:r>
      <w:r w:rsidR="007D1D66" w:rsidRPr="00D309E6">
        <w:rPr>
          <w:rFonts w:eastAsia="Calibri"/>
        </w:rPr>
        <w:t xml:space="preserve">у справі </w:t>
      </w:r>
      <w:r w:rsidRPr="00D309E6">
        <w:rPr>
          <w:rFonts w:eastAsia="Calibri"/>
        </w:rPr>
        <w:t xml:space="preserve">щодо перевірки на відповідність Основному Закону </w:t>
      </w:r>
      <w:r w:rsidR="007D1D66" w:rsidRPr="00D309E6">
        <w:rPr>
          <w:rFonts w:eastAsia="Calibri"/>
        </w:rPr>
        <w:t xml:space="preserve">України </w:t>
      </w:r>
      <w:r w:rsidR="00D309E6">
        <w:rPr>
          <w:rFonts w:eastAsia="Calibri"/>
        </w:rPr>
        <w:t>припису розділу І</w:t>
      </w:r>
      <w:r w:rsidR="00D309E6">
        <w:rPr>
          <w:rFonts w:eastAsia="Calibri"/>
        </w:rPr>
        <w:br/>
      </w:r>
      <w:r w:rsidRPr="00D309E6">
        <w:rPr>
          <w:rFonts w:eastAsia="Calibri"/>
        </w:rPr>
        <w:t xml:space="preserve">Закону № 145 обумовлена суперечливістю Ухвали в цій частині. </w:t>
      </w:r>
    </w:p>
    <w:p w:rsidR="00D30E09" w:rsidRPr="00D309E6" w:rsidRDefault="004B54E2" w:rsidP="00D309E6">
      <w:pPr>
        <w:spacing w:line="360" w:lineRule="auto"/>
        <w:ind w:firstLine="567"/>
        <w:jc w:val="both"/>
        <w:rPr>
          <w:color w:val="000000"/>
        </w:rPr>
      </w:pPr>
      <w:r w:rsidRPr="00D309E6">
        <w:rPr>
          <w:rFonts w:eastAsia="Calibri"/>
        </w:rPr>
        <w:t xml:space="preserve">Так, </w:t>
      </w:r>
      <w:r w:rsidR="00943499" w:rsidRPr="00D309E6">
        <w:rPr>
          <w:rFonts w:eastAsia="Calibri"/>
        </w:rPr>
        <w:t>спершу</w:t>
      </w:r>
      <w:r w:rsidRPr="00D309E6">
        <w:rPr>
          <w:rFonts w:eastAsia="Calibri"/>
        </w:rPr>
        <w:t xml:space="preserve"> Конституційний Суд </w:t>
      </w:r>
      <w:r w:rsidR="00A85234" w:rsidRPr="00D309E6">
        <w:rPr>
          <w:rFonts w:eastAsia="Calibri"/>
        </w:rPr>
        <w:t xml:space="preserve">в Ухвалі </w:t>
      </w:r>
      <w:r w:rsidRPr="00D309E6">
        <w:rPr>
          <w:rFonts w:eastAsia="Calibri"/>
        </w:rPr>
        <w:t>зазначає, що „</w:t>
      </w:r>
      <w:r w:rsidRPr="00D309E6">
        <w:rPr>
          <w:rFonts w:eastAsia="Times New Roman"/>
          <w:i/>
          <w:lang w:eastAsia="uk-UA"/>
        </w:rPr>
        <w:t xml:space="preserve">автори клопотання, твердячи про неконституційність </w:t>
      </w:r>
      <w:r w:rsidRPr="00D309E6">
        <w:rPr>
          <w:rFonts w:eastAsia="Times New Roman"/>
          <w:bCs/>
          <w:i/>
          <w:lang w:eastAsia="uk-UA"/>
        </w:rPr>
        <w:t xml:space="preserve">припису </w:t>
      </w:r>
      <w:r w:rsidRPr="00D309E6">
        <w:rPr>
          <w:rFonts w:eastAsia="Times New Roman"/>
          <w:i/>
          <w:lang w:eastAsia="uk-UA"/>
        </w:rPr>
        <w:t>розділу І Закону № 145, фактично порушують питання про наявність законодавчої прогалини, спричиненої тим, що Верховна Рада України не затвердила переліку</w:t>
      </w:r>
      <w:r w:rsidRPr="00D309E6">
        <w:rPr>
          <w:rFonts w:eastAsia="Times New Roman"/>
          <w:i/>
        </w:rPr>
        <w:t xml:space="preserve"> об’єктів права державної власності, які не підлягають приватизації</w:t>
      </w:r>
      <w:r w:rsidRPr="00D309E6">
        <w:rPr>
          <w:rFonts w:eastAsia="Calibri"/>
        </w:rPr>
        <w:t>“</w:t>
      </w:r>
      <w:r w:rsidR="00943499" w:rsidRPr="00D309E6">
        <w:rPr>
          <w:rFonts w:eastAsia="Calibri"/>
        </w:rPr>
        <w:t>.</w:t>
      </w:r>
      <w:r w:rsidRPr="00D309E6">
        <w:rPr>
          <w:rFonts w:eastAsia="Times New Roman"/>
          <w:lang w:eastAsia="uk-UA"/>
        </w:rPr>
        <w:t xml:space="preserve"> </w:t>
      </w:r>
      <w:r w:rsidR="007D1D66" w:rsidRPr="00D309E6">
        <w:rPr>
          <w:rFonts w:eastAsia="Times New Roman"/>
          <w:lang w:eastAsia="uk-UA"/>
        </w:rPr>
        <w:t>Далі</w:t>
      </w:r>
      <w:r w:rsidRPr="00D309E6">
        <w:rPr>
          <w:rFonts w:eastAsia="Times New Roman"/>
          <w:lang w:eastAsia="uk-UA"/>
        </w:rPr>
        <w:t xml:space="preserve"> </w:t>
      </w:r>
      <w:r w:rsidRPr="00D309E6">
        <w:rPr>
          <w:rFonts w:eastAsia="Calibri"/>
        </w:rPr>
        <w:t xml:space="preserve">Конституційний Суд посилається на свою практику щодо </w:t>
      </w:r>
      <w:r w:rsidRPr="00D309E6">
        <w:rPr>
          <w:bCs/>
        </w:rPr>
        <w:t>законодавчого упущення (</w:t>
      </w:r>
      <w:proofErr w:type="spellStart"/>
      <w:r w:rsidRPr="00D309E6">
        <w:rPr>
          <w:bCs/>
          <w:i/>
        </w:rPr>
        <w:t>legislative</w:t>
      </w:r>
      <w:proofErr w:type="spellEnd"/>
      <w:r w:rsidRPr="00D309E6">
        <w:rPr>
          <w:bCs/>
          <w:i/>
        </w:rPr>
        <w:t xml:space="preserve"> </w:t>
      </w:r>
      <w:proofErr w:type="spellStart"/>
      <w:r w:rsidRPr="00D309E6">
        <w:rPr>
          <w:bCs/>
          <w:i/>
        </w:rPr>
        <w:t>omission</w:t>
      </w:r>
      <w:proofErr w:type="spellEnd"/>
      <w:r w:rsidRPr="00D309E6">
        <w:rPr>
          <w:bCs/>
        </w:rPr>
        <w:t xml:space="preserve">). І наостанок мотивації </w:t>
      </w:r>
      <w:r w:rsidR="007054CD" w:rsidRPr="00D309E6">
        <w:rPr>
          <w:rFonts w:eastAsia="Calibri"/>
        </w:rPr>
        <w:t xml:space="preserve">Конституційний Суд </w:t>
      </w:r>
      <w:r w:rsidR="000E7179" w:rsidRPr="00D309E6">
        <w:rPr>
          <w:rFonts w:eastAsia="Calibri"/>
        </w:rPr>
        <w:t xml:space="preserve">в Ухвалі </w:t>
      </w:r>
      <w:r w:rsidR="007054CD" w:rsidRPr="00D309E6">
        <w:rPr>
          <w:rFonts w:eastAsia="Calibri"/>
        </w:rPr>
        <w:t>висновує</w:t>
      </w:r>
      <w:r w:rsidR="00D30E09" w:rsidRPr="00D309E6">
        <w:rPr>
          <w:rFonts w:eastAsia="Calibri"/>
        </w:rPr>
        <w:t>, що „</w:t>
      </w:r>
      <w:r w:rsidR="00D30E09" w:rsidRPr="00D309E6">
        <w:rPr>
          <w:bCs/>
          <w:i/>
        </w:rPr>
        <w:t xml:space="preserve">не є таким законодавчим упущенням </w:t>
      </w:r>
      <w:r w:rsidR="00D30E09" w:rsidRPr="00D309E6">
        <w:rPr>
          <w:rFonts w:eastAsia="Times New Roman"/>
          <w:i/>
          <w:lang w:eastAsia="uk-UA"/>
        </w:rPr>
        <w:t>та не може бути перевірено на відповідність Конституції України (конституційність) відсутність затвердженого законодавцем переліку</w:t>
      </w:r>
      <w:r w:rsidR="00D30E09" w:rsidRPr="00D309E6">
        <w:rPr>
          <w:rFonts w:eastAsia="Times New Roman"/>
          <w:i/>
        </w:rPr>
        <w:t xml:space="preserve"> об</w:t>
      </w:r>
      <w:r w:rsidR="007D1D66" w:rsidRPr="00D309E6">
        <w:rPr>
          <w:rFonts w:eastAsia="Times New Roman"/>
          <w:i/>
        </w:rPr>
        <w:t>’</w:t>
      </w:r>
      <w:r w:rsidR="00D30E09" w:rsidRPr="00D309E6">
        <w:rPr>
          <w:rFonts w:eastAsia="Times New Roman"/>
          <w:i/>
        </w:rPr>
        <w:t>єктів права державної власності, що не підлягають приватизації</w:t>
      </w:r>
      <w:r w:rsidR="00D30E09" w:rsidRPr="00D309E6">
        <w:rPr>
          <w:rFonts w:eastAsia="Times New Roman"/>
          <w:i/>
          <w:lang w:eastAsia="ru-RU"/>
        </w:rPr>
        <w:t xml:space="preserve">. Зазначене вказує лише на те, що законодавець не реалізував свого конституційного повноваження, визначеного </w:t>
      </w:r>
      <w:r w:rsidR="00D30E09" w:rsidRPr="00D309E6">
        <w:rPr>
          <w:rFonts w:eastAsia="Times New Roman"/>
          <w:bCs/>
          <w:i/>
          <w:lang w:eastAsia="uk-UA"/>
        </w:rPr>
        <w:t>пунктом 36 частини першої</w:t>
      </w:r>
      <w:r w:rsidR="00A85234" w:rsidRPr="00D309E6">
        <w:rPr>
          <w:rFonts w:eastAsia="Times New Roman"/>
          <w:bCs/>
          <w:i/>
          <w:lang w:eastAsia="uk-UA"/>
        </w:rPr>
        <w:t xml:space="preserve"> </w:t>
      </w:r>
      <w:r w:rsidR="00D30E09" w:rsidRPr="00D309E6">
        <w:rPr>
          <w:rFonts w:eastAsia="Times New Roman"/>
          <w:bCs/>
          <w:i/>
          <w:lang w:eastAsia="uk-UA"/>
        </w:rPr>
        <w:t>статті 85 Конституції України</w:t>
      </w:r>
      <w:r w:rsidR="00D30E09" w:rsidRPr="00D309E6">
        <w:rPr>
          <w:rFonts w:eastAsia="Calibri"/>
        </w:rPr>
        <w:t xml:space="preserve">“ </w:t>
      </w:r>
      <w:r w:rsidR="00EC38A5" w:rsidRPr="00D309E6">
        <w:rPr>
          <w:color w:val="000000"/>
        </w:rPr>
        <w:t xml:space="preserve">(абзац шостий </w:t>
      </w:r>
      <w:r w:rsidR="007D1D66" w:rsidRPr="00D309E6">
        <w:rPr>
          <w:color w:val="000000"/>
        </w:rPr>
        <w:t>під</w:t>
      </w:r>
      <w:r w:rsidR="00EC38A5" w:rsidRPr="00D309E6">
        <w:rPr>
          <w:color w:val="000000"/>
        </w:rPr>
        <w:t xml:space="preserve">пункту 4.2 пункту 4 </w:t>
      </w:r>
      <w:r w:rsidR="00D30E09" w:rsidRPr="00D309E6">
        <w:rPr>
          <w:color w:val="000000"/>
        </w:rPr>
        <w:t>мотивувальної частини).</w:t>
      </w:r>
    </w:p>
    <w:p w:rsidR="00493683" w:rsidRPr="00D309E6" w:rsidRDefault="007D1D66" w:rsidP="00D309E6">
      <w:pPr>
        <w:spacing w:line="360" w:lineRule="auto"/>
        <w:ind w:firstLine="567"/>
        <w:jc w:val="both"/>
        <w:rPr>
          <w:rFonts w:eastAsia="Times New Roman"/>
          <w:lang w:eastAsia="uk-UA"/>
        </w:rPr>
      </w:pPr>
      <w:r w:rsidRPr="00D309E6">
        <w:rPr>
          <w:rFonts w:eastAsia="Calibri"/>
        </w:rPr>
        <w:t xml:space="preserve">Проте </w:t>
      </w:r>
      <w:r w:rsidR="007054CD" w:rsidRPr="00D309E6">
        <w:rPr>
          <w:rFonts w:eastAsia="Calibri"/>
        </w:rPr>
        <w:t>коли</w:t>
      </w:r>
      <w:r w:rsidR="00493683" w:rsidRPr="00D309E6">
        <w:rPr>
          <w:rFonts w:eastAsia="Calibri"/>
        </w:rPr>
        <w:t xml:space="preserve">, по-перше, </w:t>
      </w:r>
      <w:r w:rsidR="007054CD" w:rsidRPr="00D309E6">
        <w:rPr>
          <w:rFonts w:eastAsia="Times New Roman"/>
          <w:lang w:eastAsia="uk-UA"/>
        </w:rPr>
        <w:t>суб’єкт права на конституційне подання не послався на існування законодавчого упущення</w:t>
      </w:r>
      <w:r w:rsidR="00493683" w:rsidRPr="00D309E6">
        <w:rPr>
          <w:rFonts w:eastAsia="Times New Roman"/>
          <w:lang w:eastAsia="uk-UA"/>
        </w:rPr>
        <w:t xml:space="preserve">, по-друге, </w:t>
      </w:r>
      <w:r w:rsidR="007054CD" w:rsidRPr="00D309E6">
        <w:rPr>
          <w:rFonts w:eastAsia="Times New Roman"/>
          <w:lang w:eastAsia="uk-UA"/>
        </w:rPr>
        <w:t>Конституційн</w:t>
      </w:r>
      <w:r w:rsidR="00493683" w:rsidRPr="00D309E6">
        <w:rPr>
          <w:rFonts w:eastAsia="Times New Roman"/>
          <w:lang w:eastAsia="uk-UA"/>
        </w:rPr>
        <w:t xml:space="preserve">ий </w:t>
      </w:r>
      <w:r w:rsidR="007054CD" w:rsidRPr="00D309E6">
        <w:rPr>
          <w:rFonts w:eastAsia="Times New Roman"/>
          <w:lang w:eastAsia="uk-UA"/>
        </w:rPr>
        <w:t>Суд</w:t>
      </w:r>
      <w:r w:rsidR="00493683" w:rsidRPr="00D309E6">
        <w:rPr>
          <w:rFonts w:eastAsia="Times New Roman"/>
          <w:lang w:eastAsia="uk-UA"/>
        </w:rPr>
        <w:t xml:space="preserve"> дійшов висновку </w:t>
      </w:r>
      <w:r w:rsidR="007054CD" w:rsidRPr="00D309E6">
        <w:rPr>
          <w:rFonts w:eastAsia="Times New Roman"/>
          <w:lang w:eastAsia="uk-UA"/>
        </w:rPr>
        <w:t xml:space="preserve">про відсутність </w:t>
      </w:r>
      <w:r w:rsidR="00A85234" w:rsidRPr="00D309E6">
        <w:rPr>
          <w:rFonts w:eastAsia="Times New Roman"/>
          <w:lang w:eastAsia="uk-UA"/>
        </w:rPr>
        <w:t xml:space="preserve">у подібній ситуації </w:t>
      </w:r>
      <w:r w:rsidR="007054CD" w:rsidRPr="00D309E6">
        <w:rPr>
          <w:rFonts w:eastAsia="Times New Roman"/>
          <w:lang w:eastAsia="uk-UA"/>
        </w:rPr>
        <w:t xml:space="preserve">законодавчого упущення, </w:t>
      </w:r>
      <w:r w:rsidR="00493683" w:rsidRPr="00D309E6">
        <w:rPr>
          <w:rFonts w:eastAsia="Times New Roman"/>
          <w:lang w:eastAsia="uk-UA"/>
        </w:rPr>
        <w:t xml:space="preserve">у стороннього підготовленого читача може </w:t>
      </w:r>
      <w:r w:rsidR="007054CD" w:rsidRPr="00D309E6">
        <w:rPr>
          <w:rFonts w:eastAsia="Times New Roman"/>
          <w:lang w:eastAsia="uk-UA"/>
        </w:rPr>
        <w:t>виник</w:t>
      </w:r>
      <w:r w:rsidR="00493683" w:rsidRPr="00D309E6">
        <w:rPr>
          <w:rFonts w:eastAsia="Times New Roman"/>
          <w:lang w:eastAsia="uk-UA"/>
        </w:rPr>
        <w:t xml:space="preserve">нути </w:t>
      </w:r>
      <w:r w:rsidR="007054CD" w:rsidRPr="00D309E6">
        <w:rPr>
          <w:rFonts w:eastAsia="Times New Roman"/>
          <w:lang w:eastAsia="uk-UA"/>
        </w:rPr>
        <w:t>цілком прогнозоване питання про сенс згадування про це поняття в Ухвалі</w:t>
      </w:r>
      <w:r w:rsidR="00493683" w:rsidRPr="00D309E6">
        <w:rPr>
          <w:rFonts w:eastAsia="Times New Roman"/>
          <w:lang w:eastAsia="uk-UA"/>
        </w:rPr>
        <w:t>.</w:t>
      </w:r>
    </w:p>
    <w:p w:rsidR="00620FA3" w:rsidRPr="00D309E6" w:rsidRDefault="00620FA3" w:rsidP="00D309E6">
      <w:pPr>
        <w:spacing w:line="360" w:lineRule="auto"/>
        <w:ind w:firstLine="567"/>
        <w:jc w:val="both"/>
        <w:rPr>
          <w:rFonts w:eastAsia="Times New Roman"/>
          <w:lang w:eastAsia="uk-UA"/>
        </w:rPr>
      </w:pPr>
      <w:r w:rsidRPr="00D309E6">
        <w:rPr>
          <w:rFonts w:eastAsia="Times New Roman"/>
          <w:lang w:eastAsia="uk-UA"/>
        </w:rPr>
        <w:t>Відповідь на це питання може мати негативні наслідки для авторитету Конституційного Суду</w:t>
      </w:r>
      <w:r w:rsidR="004A1095" w:rsidRPr="00D309E6">
        <w:rPr>
          <w:rFonts w:eastAsia="Times New Roman"/>
          <w:lang w:eastAsia="uk-UA"/>
        </w:rPr>
        <w:t xml:space="preserve"> та довіри до його рішень</w:t>
      </w:r>
      <w:r w:rsidRPr="00D309E6">
        <w:rPr>
          <w:rFonts w:eastAsia="Times New Roman"/>
          <w:lang w:eastAsia="uk-UA"/>
        </w:rPr>
        <w:t>.</w:t>
      </w:r>
    </w:p>
    <w:p w:rsidR="00493683" w:rsidRPr="00D309E6" w:rsidRDefault="00493683" w:rsidP="00D309E6">
      <w:pPr>
        <w:spacing w:line="360" w:lineRule="auto"/>
        <w:ind w:firstLine="567"/>
        <w:jc w:val="both"/>
        <w:rPr>
          <w:rFonts w:eastAsia="Times New Roman"/>
          <w:lang w:eastAsia="uk-UA"/>
        </w:rPr>
      </w:pPr>
    </w:p>
    <w:p w:rsidR="00332DD7" w:rsidRPr="00D309E6" w:rsidRDefault="00493683" w:rsidP="00D309E6">
      <w:pPr>
        <w:spacing w:line="360" w:lineRule="auto"/>
        <w:ind w:firstLine="567"/>
        <w:jc w:val="both"/>
        <w:rPr>
          <w:rFonts w:eastAsia="Calibri"/>
          <w:i/>
        </w:rPr>
      </w:pPr>
      <w:r w:rsidRPr="00D309E6">
        <w:rPr>
          <w:rFonts w:eastAsia="Times New Roman"/>
          <w:lang w:eastAsia="uk-UA"/>
        </w:rPr>
        <w:t xml:space="preserve">5. На підтвердження відсутності </w:t>
      </w:r>
      <w:r w:rsidRPr="00D309E6">
        <w:rPr>
          <w:bCs/>
        </w:rPr>
        <w:t>законодавчого упущення в ситуації</w:t>
      </w:r>
      <w:r w:rsidR="00C51C76" w:rsidRPr="00D309E6">
        <w:rPr>
          <w:bCs/>
        </w:rPr>
        <w:t>,</w:t>
      </w:r>
      <w:r w:rsidRPr="00D309E6">
        <w:rPr>
          <w:bCs/>
        </w:rPr>
        <w:t xml:space="preserve"> </w:t>
      </w:r>
      <w:r w:rsidR="00A85234" w:rsidRPr="00D309E6">
        <w:rPr>
          <w:bCs/>
        </w:rPr>
        <w:t xml:space="preserve">коли </w:t>
      </w:r>
      <w:r w:rsidRPr="00D309E6">
        <w:rPr>
          <w:rFonts w:eastAsia="Times New Roman"/>
          <w:lang w:eastAsia="ru-RU"/>
        </w:rPr>
        <w:t xml:space="preserve">законодавець не реалізував свого конституційного повноваження, визначеного </w:t>
      </w:r>
      <w:r w:rsidRPr="00D309E6">
        <w:rPr>
          <w:rFonts w:eastAsia="Times New Roman"/>
          <w:bCs/>
          <w:lang w:eastAsia="uk-UA"/>
        </w:rPr>
        <w:t>пунктом 36 частини першої статті 85 Конституції України</w:t>
      </w:r>
      <w:r w:rsidR="00C51C76" w:rsidRPr="00D309E6">
        <w:rPr>
          <w:rFonts w:eastAsia="Times New Roman"/>
          <w:bCs/>
          <w:lang w:eastAsia="uk-UA"/>
        </w:rPr>
        <w:t>,</w:t>
      </w:r>
      <w:r w:rsidRPr="00D309E6">
        <w:rPr>
          <w:rFonts w:eastAsia="Calibri"/>
        </w:rPr>
        <w:t xml:space="preserve"> Конституційний Суд посилається в Ухвалі </w:t>
      </w:r>
      <w:r w:rsidR="00A85234" w:rsidRPr="00D309E6">
        <w:rPr>
          <w:rFonts w:eastAsia="Calibri"/>
        </w:rPr>
        <w:t xml:space="preserve">на </w:t>
      </w:r>
      <w:r w:rsidR="00332DD7" w:rsidRPr="00D309E6">
        <w:t xml:space="preserve">підпункт 6.2.3.2 підпункту 6.2.3 підпункту 6.2 пункту 6, пункт 18 мотивувальної частини рішення від 8 серпня 2006 року № 34/03 Конституційного Суду Литовської Республіки </w:t>
      </w:r>
      <w:r w:rsidR="005E79A3" w:rsidRPr="00D309E6">
        <w:t xml:space="preserve">(далі – Рішення КС ЛР) </w:t>
      </w:r>
      <w:r w:rsidR="00C51C76" w:rsidRPr="00D309E6">
        <w:t xml:space="preserve">у </w:t>
      </w:r>
      <w:r w:rsidR="00332DD7" w:rsidRPr="00D309E6">
        <w:t>якому зазначено</w:t>
      </w:r>
      <w:r w:rsidR="00C51C76" w:rsidRPr="00D309E6">
        <w:t>,</w:t>
      </w:r>
      <w:r w:rsidR="00332DD7" w:rsidRPr="00D309E6">
        <w:t xml:space="preserve"> </w:t>
      </w:r>
      <w:r w:rsidR="00332DD7" w:rsidRPr="00D309E6">
        <w:rPr>
          <w:rFonts w:eastAsia="Calibri"/>
          <w:i/>
        </w:rPr>
        <w:t>„</w:t>
      </w:r>
      <w:r w:rsidR="00332DD7" w:rsidRPr="00D309E6">
        <w:rPr>
          <w:i/>
        </w:rPr>
        <w:t>що слід відрізняти законодавче упущення, яке є наслідком бездіяльності суб’єкта правотворчості, який ухвалив відповідний юридичний акт, від законодавчих прогалин, що виникли внаслідок того, що потрібні правотворчі дії взагалі не були здійснені</w:t>
      </w:r>
      <w:r w:rsidR="00332DD7" w:rsidRPr="00D309E6">
        <w:rPr>
          <w:rFonts w:eastAsia="Calibri"/>
          <w:i/>
        </w:rPr>
        <w:t>“</w:t>
      </w:r>
      <w:r w:rsidR="009428D5" w:rsidRPr="00D309E6">
        <w:rPr>
          <w:rFonts w:eastAsia="Calibri"/>
          <w:i/>
        </w:rPr>
        <w:t>.</w:t>
      </w:r>
    </w:p>
    <w:p w:rsidR="00A85234" w:rsidRPr="00D309E6" w:rsidRDefault="00A85234" w:rsidP="00D309E6">
      <w:pPr>
        <w:spacing w:line="360" w:lineRule="auto"/>
        <w:ind w:firstLine="567"/>
        <w:jc w:val="both"/>
      </w:pPr>
      <w:r w:rsidRPr="00D309E6">
        <w:t xml:space="preserve">Оцінюючи сенс та наслідки цитування в Ухвалі рішення КС </w:t>
      </w:r>
      <w:r w:rsidR="00860B46" w:rsidRPr="00D309E6">
        <w:t>Л</w:t>
      </w:r>
      <w:r w:rsidRPr="00D309E6">
        <w:t>Р</w:t>
      </w:r>
      <w:r w:rsidR="009428D5" w:rsidRPr="00D309E6">
        <w:t>,</w:t>
      </w:r>
      <w:r w:rsidRPr="00D309E6">
        <w:t xml:space="preserve"> зазначу таке.</w:t>
      </w:r>
    </w:p>
    <w:p w:rsidR="00A85234" w:rsidRPr="00D309E6" w:rsidRDefault="00332DD7" w:rsidP="00D309E6">
      <w:pPr>
        <w:spacing w:line="360" w:lineRule="auto"/>
        <w:ind w:firstLine="567"/>
        <w:jc w:val="both"/>
      </w:pPr>
      <w:r w:rsidRPr="00D309E6">
        <w:t xml:space="preserve">По-перше, </w:t>
      </w:r>
      <w:r w:rsidR="00A85234" w:rsidRPr="00D309E6">
        <w:t>прикметно</w:t>
      </w:r>
      <w:r w:rsidR="00D017D9" w:rsidRPr="00D309E6">
        <w:t>,</w:t>
      </w:r>
      <w:r w:rsidR="00A85234" w:rsidRPr="00D309E6">
        <w:t xml:space="preserve"> що </w:t>
      </w:r>
      <w:r w:rsidR="00D017D9" w:rsidRPr="00D309E6">
        <w:t>цит</w:t>
      </w:r>
      <w:r w:rsidR="00C51C76" w:rsidRPr="00D309E6">
        <w:t>овано</w:t>
      </w:r>
      <w:r w:rsidR="00D017D9" w:rsidRPr="00D309E6">
        <w:t xml:space="preserve"> </w:t>
      </w:r>
      <w:r w:rsidR="00A85234" w:rsidRPr="00D309E6">
        <w:t>рішення органу конституційного контролю, а не акт про закриття конституційного провадження.</w:t>
      </w:r>
    </w:p>
    <w:p w:rsidR="005E79A3" w:rsidRPr="00D309E6" w:rsidRDefault="00A85234" w:rsidP="00D309E6">
      <w:pPr>
        <w:spacing w:line="360" w:lineRule="auto"/>
        <w:ind w:firstLine="567"/>
        <w:jc w:val="both"/>
      </w:pPr>
      <w:r w:rsidRPr="00D309E6">
        <w:t xml:space="preserve">По-друге, </w:t>
      </w:r>
      <w:r w:rsidR="00332DD7" w:rsidRPr="00D309E6">
        <w:t xml:space="preserve">для коректного </w:t>
      </w:r>
      <w:r w:rsidRPr="00D309E6">
        <w:t xml:space="preserve">відтворення </w:t>
      </w:r>
      <w:r w:rsidR="00332DD7" w:rsidRPr="00D309E6">
        <w:t>юридичної позиції іншого національного органу</w:t>
      </w:r>
      <w:r w:rsidR="00C51C76" w:rsidRPr="00D309E6">
        <w:t xml:space="preserve"> конституційного контролю бажано</w:t>
      </w:r>
      <w:r w:rsidR="00332DD7" w:rsidRPr="00D309E6">
        <w:t xml:space="preserve"> </w:t>
      </w:r>
      <w:r w:rsidRPr="00D309E6">
        <w:t>максимально широк</w:t>
      </w:r>
      <w:r w:rsidR="00C51C76" w:rsidRPr="00D309E6">
        <w:t xml:space="preserve">о </w:t>
      </w:r>
      <w:r w:rsidRPr="00D309E6">
        <w:t>розумі</w:t>
      </w:r>
      <w:r w:rsidR="00C51C76" w:rsidRPr="00D309E6">
        <w:t>ти</w:t>
      </w:r>
      <w:r w:rsidRPr="00D309E6">
        <w:t xml:space="preserve"> </w:t>
      </w:r>
      <w:r w:rsidR="00683E72" w:rsidRPr="00D309E6">
        <w:t>контекст</w:t>
      </w:r>
      <w:r w:rsidR="005E79A3" w:rsidRPr="00D309E6">
        <w:t xml:space="preserve"> </w:t>
      </w:r>
      <w:r w:rsidRPr="00D309E6">
        <w:t xml:space="preserve">відповідного </w:t>
      </w:r>
      <w:r w:rsidR="005E79A3" w:rsidRPr="00D309E6">
        <w:t>конституційного конфлікту</w:t>
      </w:r>
      <w:r w:rsidRPr="00D309E6">
        <w:t xml:space="preserve"> та зміст </w:t>
      </w:r>
      <w:r w:rsidR="00683E72" w:rsidRPr="00D309E6">
        <w:t xml:space="preserve">застосованих </w:t>
      </w:r>
      <w:r w:rsidRPr="00D309E6">
        <w:t>конституційних приписів</w:t>
      </w:r>
      <w:r w:rsidR="00D017D9" w:rsidRPr="00D309E6">
        <w:t>.</w:t>
      </w:r>
    </w:p>
    <w:p w:rsidR="005E79A3" w:rsidRPr="00D309E6" w:rsidRDefault="005E79A3" w:rsidP="00D309E6">
      <w:pPr>
        <w:spacing w:line="360" w:lineRule="auto"/>
        <w:ind w:firstLine="567"/>
        <w:jc w:val="both"/>
        <w:rPr>
          <w:rFonts w:eastAsia="Calibri"/>
          <w:i/>
        </w:rPr>
      </w:pPr>
      <w:r w:rsidRPr="00D309E6">
        <w:t>По-</w:t>
      </w:r>
      <w:r w:rsidR="00A85234" w:rsidRPr="00D309E6">
        <w:t>третє</w:t>
      </w:r>
      <w:r w:rsidRPr="00D309E6">
        <w:t xml:space="preserve">, </w:t>
      </w:r>
      <w:r w:rsidR="00683E72" w:rsidRPr="00D309E6">
        <w:t>ця</w:t>
      </w:r>
      <w:r w:rsidRPr="00D309E6">
        <w:t xml:space="preserve"> цитат</w:t>
      </w:r>
      <w:r w:rsidR="00683E72" w:rsidRPr="00D309E6">
        <w:t>а</w:t>
      </w:r>
      <w:r w:rsidRPr="00D309E6">
        <w:t xml:space="preserve"> з </w:t>
      </w:r>
      <w:r w:rsidR="00C51C76" w:rsidRPr="00D309E6">
        <w:t xml:space="preserve">Рішення </w:t>
      </w:r>
      <w:r w:rsidRPr="00D309E6">
        <w:t xml:space="preserve">КС ЛР </w:t>
      </w:r>
      <w:r w:rsidR="00683E72" w:rsidRPr="00D309E6">
        <w:t>містить інший</w:t>
      </w:r>
      <w:r w:rsidRPr="00D309E6">
        <w:t xml:space="preserve"> важливий висновок</w:t>
      </w:r>
      <w:r w:rsidR="00D017D9" w:rsidRPr="00D309E6">
        <w:t>:</w:t>
      </w:r>
      <w:r w:rsidRPr="00D309E6">
        <w:t xml:space="preserve"> </w:t>
      </w:r>
      <w:r w:rsidRPr="00D309E6">
        <w:rPr>
          <w:rFonts w:eastAsia="Calibri"/>
          <w:i/>
        </w:rPr>
        <w:t>„</w:t>
      </w:r>
      <w:r w:rsidRPr="00D309E6">
        <w:rPr>
          <w:i/>
        </w:rPr>
        <w:t xml:space="preserve">невчинення правотворчих дій </w:t>
      </w:r>
      <w:proofErr w:type="spellStart"/>
      <w:r w:rsidRPr="00D309E6">
        <w:rPr>
          <w:i/>
        </w:rPr>
        <w:t>de</w:t>
      </w:r>
      <w:proofErr w:type="spellEnd"/>
      <w:r w:rsidRPr="00D309E6">
        <w:rPr>
          <w:i/>
        </w:rPr>
        <w:t xml:space="preserve"> </w:t>
      </w:r>
      <w:proofErr w:type="spellStart"/>
      <w:r w:rsidRPr="00D309E6">
        <w:rPr>
          <w:i/>
        </w:rPr>
        <w:t>facto</w:t>
      </w:r>
      <w:proofErr w:type="spellEnd"/>
      <w:r w:rsidRPr="00D309E6">
        <w:rPr>
          <w:i/>
        </w:rPr>
        <w:t xml:space="preserve"> може створювати передумови для виникнення антиконституційної ситуації – такого стану суспільних відносин, за якого їх формують за відсутності юридичного підґрунтя</w:t>
      </w:r>
      <w:r w:rsidRPr="00D309E6">
        <w:rPr>
          <w:rFonts w:eastAsia="Calibri"/>
          <w:i/>
        </w:rPr>
        <w:t>“.</w:t>
      </w:r>
    </w:p>
    <w:p w:rsidR="003B0CF9" w:rsidRPr="00D309E6" w:rsidRDefault="005E79A3" w:rsidP="00D309E6">
      <w:pPr>
        <w:spacing w:line="360" w:lineRule="auto"/>
        <w:ind w:firstLine="567"/>
        <w:jc w:val="both"/>
        <w:rPr>
          <w:rFonts w:eastAsia="Calibri"/>
        </w:rPr>
      </w:pPr>
      <w:r w:rsidRPr="00D309E6">
        <w:rPr>
          <w:rFonts w:eastAsia="Calibri"/>
        </w:rPr>
        <w:t xml:space="preserve">Тобто йдеться про можливе існування </w:t>
      </w:r>
      <w:r w:rsidRPr="00D309E6">
        <w:t>антиконституційної ситуації</w:t>
      </w:r>
      <w:r w:rsidR="00A85234" w:rsidRPr="00D309E6">
        <w:t xml:space="preserve"> внаслідок </w:t>
      </w:r>
      <w:r w:rsidR="00A85234" w:rsidRPr="00D309E6">
        <w:rPr>
          <w:rFonts w:eastAsia="Calibri"/>
          <w:i/>
        </w:rPr>
        <w:t>„</w:t>
      </w:r>
      <w:r w:rsidR="00A85234" w:rsidRPr="00D309E6">
        <w:rPr>
          <w:i/>
        </w:rPr>
        <w:t>невчинення правотворчих дій</w:t>
      </w:r>
      <w:r w:rsidR="00A85234" w:rsidRPr="00D309E6">
        <w:rPr>
          <w:rFonts w:eastAsia="Calibri"/>
          <w:i/>
        </w:rPr>
        <w:t>“.</w:t>
      </w:r>
    </w:p>
    <w:p w:rsidR="003B0CF9" w:rsidRPr="00D309E6" w:rsidRDefault="003B0CF9" w:rsidP="00D309E6">
      <w:pPr>
        <w:spacing w:line="360" w:lineRule="auto"/>
        <w:ind w:firstLine="567"/>
        <w:jc w:val="both"/>
      </w:pPr>
      <w:r w:rsidRPr="00D309E6">
        <w:rPr>
          <w:rFonts w:eastAsia="Calibri"/>
        </w:rPr>
        <w:t xml:space="preserve">Чи є потреба у реагуванні на подібну </w:t>
      </w:r>
      <w:r w:rsidRPr="00D309E6">
        <w:t xml:space="preserve">антиконституційну ситуацію навіть за відсутності законодавчого упущення? Вважаю, </w:t>
      </w:r>
      <w:r w:rsidR="00683E72" w:rsidRPr="00D309E6">
        <w:t xml:space="preserve">що </w:t>
      </w:r>
      <w:r w:rsidRPr="00D309E6">
        <w:t xml:space="preserve">так. </w:t>
      </w:r>
    </w:p>
    <w:p w:rsidR="00F62B21" w:rsidRPr="00D309E6" w:rsidRDefault="003B0CF9" w:rsidP="00D309E6">
      <w:pPr>
        <w:spacing w:line="360" w:lineRule="auto"/>
        <w:ind w:firstLine="567"/>
        <w:jc w:val="both"/>
        <w:rPr>
          <w:rFonts w:eastAsia="Calibri"/>
        </w:rPr>
      </w:pPr>
      <w:r w:rsidRPr="00D309E6">
        <w:t xml:space="preserve">Чи виникла антиконституційна ситуація </w:t>
      </w:r>
      <w:r w:rsidR="000E7179" w:rsidRPr="00D309E6">
        <w:t>в</w:t>
      </w:r>
      <w:r w:rsidRPr="00D309E6">
        <w:t xml:space="preserve">наслідок ухвалення </w:t>
      </w:r>
      <w:r w:rsidR="00447CDA" w:rsidRPr="00D309E6">
        <w:br/>
      </w:r>
      <w:r w:rsidRPr="00D309E6">
        <w:rPr>
          <w:rFonts w:eastAsia="Times New Roman"/>
          <w:lang w:eastAsia="uk-UA"/>
        </w:rPr>
        <w:t>Закону №</w:t>
      </w:r>
      <w:r w:rsidR="00447CDA" w:rsidRPr="00D309E6">
        <w:rPr>
          <w:rFonts w:eastAsia="Times New Roman"/>
          <w:lang w:eastAsia="uk-UA"/>
        </w:rPr>
        <w:t xml:space="preserve"> </w:t>
      </w:r>
      <w:r w:rsidRPr="00D309E6">
        <w:rPr>
          <w:rFonts w:eastAsia="Times New Roman"/>
          <w:lang w:eastAsia="uk-UA"/>
        </w:rPr>
        <w:t xml:space="preserve">145, </w:t>
      </w:r>
      <w:r w:rsidR="00683E72" w:rsidRPr="00D309E6">
        <w:rPr>
          <w:rFonts w:eastAsia="Times New Roman"/>
          <w:lang w:eastAsia="uk-UA"/>
        </w:rPr>
        <w:t>згідно з</w:t>
      </w:r>
      <w:r w:rsidR="00A9020C" w:rsidRPr="00D309E6">
        <w:rPr>
          <w:rFonts w:eastAsia="Times New Roman"/>
          <w:lang w:eastAsia="uk-UA"/>
        </w:rPr>
        <w:t xml:space="preserve"> </w:t>
      </w:r>
      <w:r w:rsidRPr="00D309E6">
        <w:rPr>
          <w:rFonts w:eastAsia="Times New Roman"/>
          <w:lang w:eastAsia="uk-UA"/>
        </w:rPr>
        <w:t xml:space="preserve">приписом якого </w:t>
      </w:r>
      <w:r w:rsidRPr="00D309E6">
        <w:rPr>
          <w:rFonts w:eastAsia="Calibri"/>
        </w:rPr>
        <w:t>втратив чинність Закон України „Про перелік об’єктів права державної власності, що не підлягають приватизації“</w:t>
      </w:r>
      <w:r w:rsidR="00F62B21" w:rsidRPr="00D309E6">
        <w:rPr>
          <w:rFonts w:eastAsia="Calibri"/>
        </w:rPr>
        <w:t xml:space="preserve">? Невідомо, оскільки Конституційний Суд закрив відповідне конституційне провадження. </w:t>
      </w:r>
    </w:p>
    <w:p w:rsidR="00167EE5" w:rsidRPr="00D309E6" w:rsidRDefault="00167EE5" w:rsidP="00D309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i/>
          <w:color w:val="000000"/>
          <w:sz w:val="28"/>
          <w:szCs w:val="28"/>
        </w:rPr>
      </w:pPr>
    </w:p>
    <w:p w:rsidR="008C1F6E" w:rsidRPr="00D309E6" w:rsidRDefault="00F62B21" w:rsidP="00D309E6">
      <w:pPr>
        <w:spacing w:line="360" w:lineRule="auto"/>
        <w:ind w:firstLine="567"/>
        <w:jc w:val="both"/>
        <w:rPr>
          <w:rFonts w:eastAsia="Calibri"/>
        </w:rPr>
      </w:pPr>
      <w:r w:rsidRPr="00D309E6">
        <w:rPr>
          <w:bCs/>
        </w:rPr>
        <w:t xml:space="preserve">6. Незгода із </w:t>
      </w:r>
      <w:r w:rsidRPr="00D309E6">
        <w:rPr>
          <w:rFonts w:eastAsia="Calibri"/>
        </w:rPr>
        <w:t xml:space="preserve">закриттям конституційного провадження щодо перевірки на відповідність Основному Закону </w:t>
      </w:r>
      <w:r w:rsidR="00447CDA" w:rsidRPr="00D309E6">
        <w:rPr>
          <w:rFonts w:eastAsia="Calibri"/>
        </w:rPr>
        <w:t xml:space="preserve">України </w:t>
      </w:r>
      <w:r w:rsidRPr="00D309E6">
        <w:rPr>
          <w:rFonts w:eastAsia="Calibri"/>
        </w:rPr>
        <w:t>припис</w:t>
      </w:r>
      <w:r w:rsidR="00A9020C" w:rsidRPr="00D309E6">
        <w:rPr>
          <w:rFonts w:eastAsia="Calibri"/>
        </w:rPr>
        <w:t>ів</w:t>
      </w:r>
      <w:r w:rsidRPr="00D309E6">
        <w:rPr>
          <w:rFonts w:eastAsia="Calibri"/>
        </w:rPr>
        <w:t xml:space="preserve"> </w:t>
      </w:r>
      <w:r w:rsidR="00CD66A7" w:rsidRPr="00D309E6">
        <w:rPr>
          <w:rFonts w:eastAsia="Calibri"/>
        </w:rPr>
        <w:t xml:space="preserve">розділу І, </w:t>
      </w:r>
      <w:r w:rsidRPr="00D309E6">
        <w:rPr>
          <w:rFonts w:eastAsia="Calibri"/>
        </w:rPr>
        <w:t>абзацу другого підпункту 1 пункту 2 роз</w:t>
      </w:r>
      <w:r w:rsidR="00A9020C" w:rsidRPr="00D309E6">
        <w:rPr>
          <w:rFonts w:eastAsia="Calibri"/>
        </w:rPr>
        <w:t>ділу ІІ</w:t>
      </w:r>
      <w:r w:rsidR="00CD66A7" w:rsidRPr="00D309E6">
        <w:rPr>
          <w:rFonts w:eastAsia="Calibri"/>
        </w:rPr>
        <w:t xml:space="preserve"> </w:t>
      </w:r>
      <w:r w:rsidRPr="00D309E6">
        <w:rPr>
          <w:rFonts w:eastAsia="Calibri"/>
        </w:rPr>
        <w:t xml:space="preserve">Закону № 145 </w:t>
      </w:r>
      <w:proofErr w:type="spellStart"/>
      <w:r w:rsidRPr="00D309E6">
        <w:rPr>
          <w:rFonts w:eastAsia="Calibri"/>
        </w:rPr>
        <w:t>повʼязана</w:t>
      </w:r>
      <w:proofErr w:type="spellEnd"/>
      <w:r w:rsidRPr="00D309E6">
        <w:rPr>
          <w:rFonts w:eastAsia="Calibri"/>
        </w:rPr>
        <w:t xml:space="preserve"> з тим, що </w:t>
      </w:r>
      <w:r w:rsidR="00CD66A7" w:rsidRPr="00D309E6">
        <w:rPr>
          <w:rFonts w:eastAsia="Calibri"/>
        </w:rPr>
        <w:t xml:space="preserve">в Ухвалі </w:t>
      </w:r>
      <w:r w:rsidRPr="00D309E6">
        <w:rPr>
          <w:rFonts w:eastAsia="Calibri"/>
        </w:rPr>
        <w:t>мотиваці</w:t>
      </w:r>
      <w:r w:rsidR="00CD66A7" w:rsidRPr="00D309E6">
        <w:rPr>
          <w:rFonts w:eastAsia="Calibri"/>
        </w:rPr>
        <w:t>ю</w:t>
      </w:r>
      <w:r w:rsidRPr="00D309E6">
        <w:rPr>
          <w:rFonts w:eastAsia="Calibri"/>
        </w:rPr>
        <w:t xml:space="preserve"> в цій частині </w:t>
      </w:r>
      <w:r w:rsidR="005E26BF" w:rsidRPr="00D309E6">
        <w:rPr>
          <w:rFonts w:eastAsia="Calibri"/>
        </w:rPr>
        <w:t>обґрунтовано</w:t>
      </w:r>
      <w:r w:rsidR="008C1F6E" w:rsidRPr="00D309E6">
        <w:rPr>
          <w:rFonts w:eastAsia="Calibri"/>
        </w:rPr>
        <w:t xml:space="preserve"> практик</w:t>
      </w:r>
      <w:r w:rsidR="005E26BF" w:rsidRPr="00D309E6">
        <w:rPr>
          <w:rFonts w:eastAsia="Calibri"/>
        </w:rPr>
        <w:t>ою</w:t>
      </w:r>
      <w:r w:rsidR="008C1F6E" w:rsidRPr="00D309E6">
        <w:rPr>
          <w:rFonts w:eastAsia="Calibri"/>
        </w:rPr>
        <w:t xml:space="preserve"> Конституційного Суду, яка, на мою думку, не є переконливою, оскільки не містить конституційного підґрунтя. </w:t>
      </w:r>
    </w:p>
    <w:p w:rsidR="008C1F6E" w:rsidRPr="00D309E6" w:rsidRDefault="005E26BF" w:rsidP="00D309E6">
      <w:pPr>
        <w:spacing w:line="360" w:lineRule="auto"/>
        <w:ind w:firstLine="567"/>
        <w:jc w:val="both"/>
        <w:rPr>
          <w:color w:val="000000"/>
        </w:rPr>
      </w:pPr>
      <w:r w:rsidRPr="00D309E6">
        <w:rPr>
          <w:rFonts w:eastAsia="Calibri"/>
        </w:rPr>
        <w:t>В</w:t>
      </w:r>
      <w:r w:rsidR="008C1F6E" w:rsidRPr="00D309E6">
        <w:rPr>
          <w:rFonts w:eastAsia="Calibri"/>
        </w:rPr>
        <w:t xml:space="preserve"> Ухвалі з посиланням на </w:t>
      </w:r>
      <w:r w:rsidR="008C1F6E" w:rsidRPr="00D309E6">
        <w:rPr>
          <w:rFonts w:eastAsia="Times New Roman"/>
          <w:iCs/>
          <w:lang w:eastAsia="uk-UA"/>
        </w:rPr>
        <w:t>ухвали Кон</w:t>
      </w:r>
      <w:r w:rsidR="00D309E6">
        <w:rPr>
          <w:rFonts w:eastAsia="Times New Roman"/>
          <w:iCs/>
          <w:lang w:eastAsia="uk-UA"/>
        </w:rPr>
        <w:t>ституційного Суду від 13 квітня</w:t>
      </w:r>
      <w:r w:rsidR="00D309E6">
        <w:rPr>
          <w:rFonts w:eastAsia="Times New Roman"/>
          <w:iCs/>
          <w:lang w:eastAsia="uk-UA"/>
        </w:rPr>
        <w:br/>
      </w:r>
      <w:r w:rsidR="008C1F6E" w:rsidRPr="00D309E6">
        <w:rPr>
          <w:rFonts w:eastAsia="Times New Roman"/>
          <w:iCs/>
          <w:lang w:eastAsia="uk-UA"/>
        </w:rPr>
        <w:t xml:space="preserve">2004 року № 32-у/2004, від 30 червня 2011 року № 21-у/2011, </w:t>
      </w:r>
      <w:r w:rsidR="00D309E6">
        <w:rPr>
          <w:rFonts w:eastAsia="Times New Roman"/>
          <w:iCs/>
          <w:lang w:eastAsia="uk-UA"/>
        </w:rPr>
        <w:t>від 2 вересня</w:t>
      </w:r>
      <w:r w:rsidR="00D309E6">
        <w:rPr>
          <w:rFonts w:eastAsia="Times New Roman"/>
          <w:iCs/>
          <w:lang w:eastAsia="uk-UA"/>
        </w:rPr>
        <w:br/>
      </w:r>
      <w:r w:rsidR="008C1F6E" w:rsidRPr="00D309E6">
        <w:rPr>
          <w:rFonts w:eastAsia="Times New Roman"/>
          <w:iCs/>
          <w:lang w:eastAsia="uk-UA"/>
        </w:rPr>
        <w:t>2015 року № 34-у/2015 зазначено</w:t>
      </w:r>
      <w:r w:rsidR="00202826" w:rsidRPr="00D309E6">
        <w:rPr>
          <w:rFonts w:eastAsia="Times New Roman"/>
          <w:iCs/>
          <w:lang w:eastAsia="uk-UA"/>
        </w:rPr>
        <w:t>:</w:t>
      </w:r>
      <w:r w:rsidR="008C1F6E" w:rsidRPr="00D309E6">
        <w:rPr>
          <w:rFonts w:eastAsia="Times New Roman"/>
          <w:i/>
          <w:iCs/>
          <w:lang w:eastAsia="uk-UA"/>
        </w:rPr>
        <w:t xml:space="preserve"> </w:t>
      </w:r>
      <w:r w:rsidR="008C1F6E" w:rsidRPr="00D309E6">
        <w:rPr>
          <w:rFonts w:eastAsia="Calibri"/>
          <w:i/>
        </w:rPr>
        <w:t>„</w:t>
      </w:r>
      <w:r w:rsidR="008C1F6E" w:rsidRPr="00D309E6">
        <w:rPr>
          <w:rFonts w:eastAsia="Times New Roman"/>
          <w:i/>
          <w:iCs/>
          <w:lang w:eastAsia="uk-UA"/>
        </w:rPr>
        <w:t>що припущення не можна вважати аргументами на підтвердження неконституційності правових актів чи їх окремих приписів</w:t>
      </w:r>
      <w:r w:rsidR="008C1F6E" w:rsidRPr="00D309E6">
        <w:rPr>
          <w:rFonts w:eastAsia="Calibri"/>
          <w:i/>
        </w:rPr>
        <w:t xml:space="preserve">“ </w:t>
      </w:r>
      <w:r w:rsidR="008C1F6E" w:rsidRPr="00D309E6">
        <w:rPr>
          <w:color w:val="000000"/>
        </w:rPr>
        <w:t xml:space="preserve">(абзац другий </w:t>
      </w:r>
      <w:r w:rsidR="00202826" w:rsidRPr="00D309E6">
        <w:rPr>
          <w:color w:val="000000"/>
        </w:rPr>
        <w:t>під</w:t>
      </w:r>
      <w:r w:rsidR="008C1F6E" w:rsidRPr="00D309E6">
        <w:rPr>
          <w:color w:val="000000"/>
        </w:rPr>
        <w:t>пункту 5.1</w:t>
      </w:r>
      <w:r w:rsidR="00202826" w:rsidRPr="00D309E6">
        <w:rPr>
          <w:color w:val="000000"/>
        </w:rPr>
        <w:t xml:space="preserve"> пункту 5</w:t>
      </w:r>
      <w:r w:rsidR="008C1F6E" w:rsidRPr="00D309E6">
        <w:rPr>
          <w:color w:val="000000"/>
        </w:rPr>
        <w:t xml:space="preserve"> мотивувальної частини).</w:t>
      </w:r>
    </w:p>
    <w:p w:rsidR="00D176DC" w:rsidRPr="00D309E6" w:rsidRDefault="00D176DC" w:rsidP="00D309E6">
      <w:pPr>
        <w:spacing w:line="360" w:lineRule="auto"/>
        <w:ind w:firstLine="567"/>
        <w:jc w:val="both"/>
        <w:rPr>
          <w:rFonts w:eastAsia="Times New Roman"/>
          <w:iCs/>
          <w:lang w:eastAsia="uk-UA"/>
        </w:rPr>
      </w:pPr>
      <w:r w:rsidRPr="00D309E6">
        <w:rPr>
          <w:rFonts w:eastAsia="Calibri"/>
        </w:rPr>
        <w:t xml:space="preserve">Важливе уточнююче питання для розуміння суті цієї юридичної позиції: </w:t>
      </w:r>
      <w:r w:rsidR="00202826" w:rsidRPr="00D309E6">
        <w:rPr>
          <w:rFonts w:eastAsia="Calibri"/>
        </w:rPr>
        <w:br/>
      </w:r>
      <w:r w:rsidRPr="00D309E6">
        <w:rPr>
          <w:rFonts w:eastAsia="Calibri"/>
          <w:b/>
        </w:rPr>
        <w:t xml:space="preserve">чиї </w:t>
      </w:r>
      <w:r w:rsidRPr="00D309E6">
        <w:rPr>
          <w:rFonts w:eastAsia="Calibri"/>
        </w:rPr>
        <w:t xml:space="preserve">припущення </w:t>
      </w:r>
      <w:r w:rsidRPr="00D309E6">
        <w:rPr>
          <w:rFonts w:eastAsia="Times New Roman"/>
          <w:iCs/>
          <w:lang w:eastAsia="uk-UA"/>
        </w:rPr>
        <w:t xml:space="preserve">не можна вважати аргументами на підтвердження неконституційності правових актів чи їх окремих приписів? </w:t>
      </w:r>
    </w:p>
    <w:p w:rsidR="00C47737" w:rsidRPr="00D309E6" w:rsidRDefault="00D176DC" w:rsidP="00D309E6">
      <w:pPr>
        <w:spacing w:line="360" w:lineRule="auto"/>
        <w:ind w:firstLine="567"/>
        <w:jc w:val="both"/>
        <w:rPr>
          <w:rFonts w:eastAsia="Times New Roman"/>
          <w:iCs/>
          <w:lang w:eastAsia="uk-UA"/>
        </w:rPr>
      </w:pPr>
      <w:r w:rsidRPr="00D309E6">
        <w:rPr>
          <w:rFonts w:eastAsia="Times New Roman"/>
          <w:iCs/>
          <w:lang w:eastAsia="uk-UA"/>
        </w:rPr>
        <w:t>Вважаю, що якщо подібні припущення формулює Конституційний Суд у своєму рішенні</w:t>
      </w:r>
      <w:r w:rsidR="00A5793C" w:rsidRPr="00D309E6">
        <w:rPr>
          <w:rFonts w:eastAsia="Times New Roman"/>
          <w:iCs/>
          <w:lang w:eastAsia="uk-UA"/>
        </w:rPr>
        <w:t>,</w:t>
      </w:r>
      <w:r w:rsidRPr="00D309E6">
        <w:rPr>
          <w:rFonts w:eastAsia="Times New Roman"/>
          <w:iCs/>
          <w:lang w:eastAsia="uk-UA"/>
        </w:rPr>
        <w:t xml:space="preserve"> мотивуючи </w:t>
      </w:r>
      <w:r w:rsidR="00A5793C" w:rsidRPr="00D309E6">
        <w:rPr>
          <w:rFonts w:eastAsia="Times New Roman"/>
          <w:iCs/>
          <w:lang w:eastAsia="uk-UA"/>
        </w:rPr>
        <w:t>його</w:t>
      </w:r>
      <w:r w:rsidRPr="00D309E6">
        <w:rPr>
          <w:rFonts w:eastAsia="Times New Roman"/>
          <w:iCs/>
          <w:lang w:eastAsia="uk-UA"/>
        </w:rPr>
        <w:t xml:space="preserve">, то відповідь буде </w:t>
      </w:r>
      <w:r w:rsidR="00AC085F" w:rsidRPr="00D309E6">
        <w:rPr>
          <w:rFonts w:eastAsia="Times New Roman"/>
          <w:iCs/>
          <w:lang w:eastAsia="uk-UA"/>
        </w:rPr>
        <w:t>однією</w:t>
      </w:r>
      <w:r w:rsidRPr="00D309E6">
        <w:rPr>
          <w:rFonts w:eastAsia="Times New Roman"/>
          <w:iCs/>
          <w:lang w:eastAsia="uk-UA"/>
        </w:rPr>
        <w:t xml:space="preserve">. </w:t>
      </w:r>
    </w:p>
    <w:p w:rsidR="00D176DC" w:rsidRPr="00D309E6" w:rsidRDefault="00D176DC" w:rsidP="00D309E6">
      <w:pPr>
        <w:spacing w:line="360" w:lineRule="auto"/>
        <w:ind w:firstLine="567"/>
        <w:jc w:val="both"/>
        <w:rPr>
          <w:rFonts w:eastAsia="Times New Roman"/>
          <w:iCs/>
          <w:lang w:eastAsia="uk-UA"/>
        </w:rPr>
      </w:pPr>
      <w:r w:rsidRPr="00D309E6">
        <w:rPr>
          <w:rFonts w:eastAsia="Times New Roman"/>
          <w:iCs/>
          <w:lang w:eastAsia="uk-UA"/>
        </w:rPr>
        <w:t xml:space="preserve">У разі якщо припущення на підтвердження неконституційності актів права чи їх окремих приписів формулює </w:t>
      </w:r>
      <w:r w:rsidRPr="00D309E6">
        <w:rPr>
          <w:rFonts w:eastAsia="Times New Roman"/>
          <w:lang w:eastAsia="uk-UA"/>
        </w:rPr>
        <w:t xml:space="preserve">суб’єкт права на конституційне подання у своєму конституційному поданні, то відповідь має бути </w:t>
      </w:r>
      <w:r w:rsidR="00AC085F" w:rsidRPr="00D309E6">
        <w:rPr>
          <w:rFonts w:eastAsia="Times New Roman"/>
          <w:lang w:eastAsia="uk-UA"/>
        </w:rPr>
        <w:t>іншою</w:t>
      </w:r>
      <w:r w:rsidRPr="00D309E6">
        <w:rPr>
          <w:rFonts w:eastAsia="Times New Roman"/>
          <w:lang w:eastAsia="uk-UA"/>
        </w:rPr>
        <w:t xml:space="preserve">, оскільки до рішення </w:t>
      </w:r>
      <w:r w:rsidRPr="00D309E6">
        <w:rPr>
          <w:rFonts w:eastAsia="Times New Roman"/>
          <w:iCs/>
          <w:lang w:eastAsia="uk-UA"/>
        </w:rPr>
        <w:t xml:space="preserve">Конституційного Суду твердження авторів конституційних подань або скарг є нічим іншим як припущенням. </w:t>
      </w:r>
    </w:p>
    <w:p w:rsidR="002913DC" w:rsidRPr="00D309E6" w:rsidRDefault="00AC085F" w:rsidP="00D309E6">
      <w:pPr>
        <w:spacing w:line="360" w:lineRule="auto"/>
        <w:ind w:firstLine="567"/>
        <w:jc w:val="both"/>
        <w:rPr>
          <w:rFonts w:eastAsia="Times New Roman"/>
          <w:iCs/>
          <w:lang w:eastAsia="uk-UA"/>
        </w:rPr>
      </w:pPr>
      <w:r w:rsidRPr="00D309E6">
        <w:rPr>
          <w:rFonts w:eastAsia="Times New Roman"/>
          <w:iCs/>
          <w:lang w:eastAsia="uk-UA"/>
        </w:rPr>
        <w:t>Зрештою</w:t>
      </w:r>
      <w:r w:rsidR="00C47737" w:rsidRPr="00D309E6">
        <w:rPr>
          <w:rFonts w:eastAsia="Times New Roman"/>
          <w:iCs/>
          <w:lang w:eastAsia="uk-UA"/>
        </w:rPr>
        <w:t xml:space="preserve">, </w:t>
      </w:r>
      <w:r w:rsidR="00674F76" w:rsidRPr="00D309E6">
        <w:rPr>
          <w:rFonts w:eastAsia="Times New Roman"/>
          <w:iCs/>
          <w:lang w:eastAsia="uk-UA"/>
        </w:rPr>
        <w:t xml:space="preserve">у </w:t>
      </w:r>
      <w:r w:rsidR="00C47737" w:rsidRPr="00D309E6">
        <w:rPr>
          <w:rFonts w:eastAsia="Times New Roman"/>
          <w:iCs/>
          <w:lang w:eastAsia="uk-UA"/>
        </w:rPr>
        <w:t>так</w:t>
      </w:r>
      <w:r w:rsidR="00674F76" w:rsidRPr="00D309E6">
        <w:rPr>
          <w:rFonts w:eastAsia="Times New Roman"/>
          <w:iCs/>
          <w:lang w:eastAsia="uk-UA"/>
        </w:rPr>
        <w:t>их</w:t>
      </w:r>
      <w:r w:rsidR="00C47737" w:rsidRPr="00D309E6">
        <w:rPr>
          <w:rFonts w:eastAsia="Times New Roman"/>
          <w:iCs/>
          <w:lang w:eastAsia="uk-UA"/>
        </w:rPr>
        <w:t xml:space="preserve"> метод</w:t>
      </w:r>
      <w:r w:rsidR="00674F76" w:rsidRPr="00D309E6">
        <w:rPr>
          <w:rFonts w:eastAsia="Times New Roman"/>
          <w:iCs/>
          <w:lang w:eastAsia="uk-UA"/>
        </w:rPr>
        <w:t xml:space="preserve">ів </w:t>
      </w:r>
      <w:r w:rsidR="00C47737" w:rsidRPr="00D309E6">
        <w:rPr>
          <w:rFonts w:eastAsia="Times New Roman"/>
          <w:iCs/>
          <w:lang w:eastAsia="uk-UA"/>
        </w:rPr>
        <w:t>досліджень</w:t>
      </w:r>
      <w:r w:rsidR="00674F76" w:rsidRPr="00D309E6">
        <w:rPr>
          <w:rFonts w:eastAsia="Times New Roman"/>
          <w:iCs/>
          <w:lang w:eastAsia="uk-UA"/>
        </w:rPr>
        <w:t>,</w:t>
      </w:r>
      <w:r w:rsidR="00C47737" w:rsidRPr="00D309E6">
        <w:rPr>
          <w:rFonts w:eastAsia="Times New Roman"/>
          <w:iCs/>
          <w:lang w:eastAsia="uk-UA"/>
        </w:rPr>
        <w:t xml:space="preserve"> як моделювання, прогнозування </w:t>
      </w:r>
      <w:r w:rsidR="00674F76" w:rsidRPr="00D309E6">
        <w:rPr>
          <w:rFonts w:eastAsia="Times New Roman"/>
          <w:iCs/>
          <w:lang w:eastAsia="uk-UA"/>
        </w:rPr>
        <w:t>та інші,</w:t>
      </w:r>
      <w:r w:rsidR="00C47737" w:rsidRPr="00D309E6">
        <w:rPr>
          <w:rFonts w:eastAsia="Times New Roman"/>
          <w:iCs/>
          <w:lang w:eastAsia="uk-UA"/>
        </w:rPr>
        <w:t xml:space="preserve"> </w:t>
      </w:r>
      <w:r w:rsidR="00674F76" w:rsidRPr="00D309E6">
        <w:rPr>
          <w:rFonts w:eastAsia="Times New Roman"/>
          <w:iCs/>
          <w:lang w:eastAsia="uk-UA"/>
        </w:rPr>
        <w:t>і</w:t>
      </w:r>
      <w:r w:rsidR="00C47737" w:rsidRPr="00D309E6">
        <w:rPr>
          <w:rFonts w:eastAsia="Times New Roman"/>
          <w:iCs/>
          <w:lang w:eastAsia="uk-UA"/>
        </w:rPr>
        <w:t xml:space="preserve"> використовують зас</w:t>
      </w:r>
      <w:r w:rsidRPr="00D309E6">
        <w:rPr>
          <w:rFonts w:eastAsia="Times New Roman"/>
          <w:iCs/>
          <w:lang w:eastAsia="uk-UA"/>
        </w:rPr>
        <w:t>о</w:t>
      </w:r>
      <w:r w:rsidR="00C47737" w:rsidRPr="00D309E6">
        <w:rPr>
          <w:rFonts w:eastAsia="Times New Roman"/>
          <w:iCs/>
          <w:lang w:eastAsia="uk-UA"/>
        </w:rPr>
        <w:t>б</w:t>
      </w:r>
      <w:r w:rsidRPr="00D309E6">
        <w:rPr>
          <w:rFonts w:eastAsia="Times New Roman"/>
          <w:iCs/>
          <w:lang w:eastAsia="uk-UA"/>
        </w:rPr>
        <w:t>и</w:t>
      </w:r>
      <w:r w:rsidR="00C47737" w:rsidRPr="00D309E6">
        <w:rPr>
          <w:rFonts w:eastAsia="Times New Roman"/>
          <w:iCs/>
          <w:lang w:eastAsia="uk-UA"/>
        </w:rPr>
        <w:t xml:space="preserve"> припущення для забезпечення динаміки дослідницько</w:t>
      </w:r>
      <w:r w:rsidR="002913DC" w:rsidRPr="00D309E6">
        <w:rPr>
          <w:rFonts w:eastAsia="Times New Roman"/>
          <w:iCs/>
          <w:lang w:eastAsia="uk-UA"/>
        </w:rPr>
        <w:t>ї діяльності</w:t>
      </w:r>
      <w:r w:rsidR="00C47737" w:rsidRPr="00D309E6">
        <w:rPr>
          <w:rFonts w:eastAsia="Times New Roman"/>
          <w:iCs/>
          <w:lang w:eastAsia="uk-UA"/>
        </w:rPr>
        <w:t xml:space="preserve">. У теорії доказування формулювання припущень </w:t>
      </w:r>
      <w:r w:rsidR="002913DC" w:rsidRPr="00D309E6">
        <w:rPr>
          <w:rFonts w:eastAsia="Times New Roman"/>
          <w:iCs/>
          <w:lang w:eastAsia="uk-UA"/>
        </w:rPr>
        <w:t>або версій є</w:t>
      </w:r>
      <w:r w:rsidR="00860B46" w:rsidRPr="00D309E6">
        <w:rPr>
          <w:rFonts w:eastAsia="Times New Roman"/>
          <w:iCs/>
          <w:lang w:eastAsia="uk-UA"/>
        </w:rPr>
        <w:t xml:space="preserve"> </w:t>
      </w:r>
      <w:r w:rsidR="002913DC" w:rsidRPr="00D309E6">
        <w:rPr>
          <w:rFonts w:eastAsia="Times New Roman"/>
          <w:iCs/>
          <w:lang w:eastAsia="uk-UA"/>
        </w:rPr>
        <w:t xml:space="preserve">одним зі складників цього процесу. </w:t>
      </w:r>
    </w:p>
    <w:p w:rsidR="002913DC" w:rsidRPr="00D309E6" w:rsidRDefault="002913DC" w:rsidP="00D309E6">
      <w:pPr>
        <w:spacing w:line="360" w:lineRule="auto"/>
        <w:ind w:firstLine="567"/>
        <w:jc w:val="both"/>
        <w:rPr>
          <w:rFonts w:eastAsia="Times New Roman"/>
          <w:iCs/>
          <w:lang w:eastAsia="uk-UA"/>
        </w:rPr>
      </w:pPr>
      <w:r w:rsidRPr="00D309E6">
        <w:rPr>
          <w:rFonts w:eastAsia="Times New Roman"/>
          <w:iCs/>
          <w:lang w:eastAsia="uk-UA"/>
        </w:rPr>
        <w:t xml:space="preserve">Отже, посилання в Ухвалі на згадану юридичну позицію щодо неможливості застосування припущень у конституційних поданнях, на мою думку, не є переконливим. </w:t>
      </w:r>
    </w:p>
    <w:p w:rsidR="00F62B21" w:rsidRPr="00D309E6" w:rsidRDefault="00F62B21" w:rsidP="00D309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i/>
          <w:color w:val="000000"/>
          <w:sz w:val="28"/>
          <w:szCs w:val="28"/>
        </w:rPr>
      </w:pPr>
    </w:p>
    <w:p w:rsidR="00592F1B" w:rsidRPr="00D309E6" w:rsidRDefault="00592F1B" w:rsidP="00D309E6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color w:val="000000"/>
          <w:sz w:val="28"/>
          <w:szCs w:val="28"/>
        </w:rPr>
      </w:pPr>
      <w:r w:rsidRPr="00D309E6">
        <w:rPr>
          <w:b/>
          <w:i/>
          <w:color w:val="000000"/>
          <w:sz w:val="28"/>
          <w:szCs w:val="28"/>
        </w:rPr>
        <w:t>Загальні висновки та міркування</w:t>
      </w:r>
    </w:p>
    <w:p w:rsidR="00966AB7" w:rsidRPr="00D309E6" w:rsidRDefault="00966AB7" w:rsidP="00D309E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i/>
          <w:color w:val="000000"/>
          <w:sz w:val="28"/>
          <w:szCs w:val="28"/>
        </w:rPr>
      </w:pPr>
    </w:p>
    <w:p w:rsidR="00167EE5" w:rsidRPr="00D309E6" w:rsidRDefault="002913DC" w:rsidP="00D309E6">
      <w:pPr>
        <w:spacing w:line="360" w:lineRule="auto"/>
        <w:ind w:firstLine="567"/>
        <w:jc w:val="both"/>
        <w:rPr>
          <w:rFonts w:eastAsia="Calibri"/>
        </w:rPr>
      </w:pPr>
      <w:r w:rsidRPr="00D309E6">
        <w:rPr>
          <w:rFonts w:eastAsia="Calibri"/>
        </w:rPr>
        <w:t>7</w:t>
      </w:r>
      <w:r w:rsidR="00592F1B" w:rsidRPr="00D309E6">
        <w:rPr>
          <w:rFonts w:eastAsia="Calibri"/>
        </w:rPr>
        <w:t xml:space="preserve">. Конституційне провадження у цій справі було відкрито </w:t>
      </w:r>
      <w:r w:rsidR="00D309E6">
        <w:rPr>
          <w:rFonts w:eastAsia="Calibri"/>
        </w:rPr>
        <w:t>25 листопада</w:t>
      </w:r>
      <w:r w:rsidR="00D309E6">
        <w:rPr>
          <w:rFonts w:eastAsia="Calibri"/>
        </w:rPr>
        <w:br/>
      </w:r>
      <w:r w:rsidR="00592F1B" w:rsidRPr="00D309E6">
        <w:rPr>
          <w:rFonts w:eastAsia="Calibri"/>
        </w:rPr>
        <w:t xml:space="preserve">2019 року </w:t>
      </w:r>
      <w:r w:rsidR="00167EE5" w:rsidRPr="00D309E6">
        <w:rPr>
          <w:rFonts w:eastAsia="Calibri"/>
        </w:rPr>
        <w:t xml:space="preserve">[Ухвала Третьої колегії суддів </w:t>
      </w:r>
      <w:r w:rsidR="00D309E6">
        <w:rPr>
          <w:rFonts w:eastAsia="Calibri"/>
        </w:rPr>
        <w:t>Другого сенату від 25 листопада</w:t>
      </w:r>
      <w:r w:rsidR="00D309E6">
        <w:rPr>
          <w:rFonts w:eastAsia="Calibri"/>
        </w:rPr>
        <w:br/>
      </w:r>
      <w:r w:rsidR="00167EE5" w:rsidRPr="00D309E6">
        <w:rPr>
          <w:rFonts w:eastAsia="Calibri"/>
        </w:rPr>
        <w:t>2019 року № 298-3(ІІ)/2019].</w:t>
      </w:r>
    </w:p>
    <w:p w:rsidR="00966AB7" w:rsidRPr="00D309E6" w:rsidRDefault="00167EE5" w:rsidP="00D309E6">
      <w:pPr>
        <w:spacing w:line="360" w:lineRule="auto"/>
        <w:ind w:firstLine="567"/>
        <w:jc w:val="both"/>
        <w:rPr>
          <w:rFonts w:eastAsia="Calibri"/>
        </w:rPr>
      </w:pPr>
      <w:r w:rsidRPr="00D309E6">
        <w:rPr>
          <w:rFonts w:eastAsia="Calibri"/>
        </w:rPr>
        <w:t xml:space="preserve">Подальший розгляд цієї справи не виглядав поспішним чи неякісним, зокрема розгляд цієї справи на відкритій частині </w:t>
      </w:r>
      <w:r w:rsidR="00D80BB2" w:rsidRPr="00D309E6">
        <w:rPr>
          <w:rFonts w:eastAsia="Calibri"/>
        </w:rPr>
        <w:t xml:space="preserve">пленарного засідання Великої </w:t>
      </w:r>
      <w:r w:rsidR="00966AB7" w:rsidRPr="00D309E6">
        <w:rPr>
          <w:rFonts w:eastAsia="Calibri"/>
        </w:rPr>
        <w:t xml:space="preserve">Палати Конституційний Суд </w:t>
      </w:r>
      <w:r w:rsidRPr="00D309E6">
        <w:rPr>
          <w:rFonts w:eastAsia="Calibri"/>
        </w:rPr>
        <w:t xml:space="preserve">відбувся </w:t>
      </w:r>
      <w:r w:rsidR="00966AB7" w:rsidRPr="00D309E6">
        <w:rPr>
          <w:rFonts w:eastAsia="Calibri"/>
        </w:rPr>
        <w:t xml:space="preserve">в усній </w:t>
      </w:r>
      <w:r w:rsidRPr="00D309E6">
        <w:rPr>
          <w:rFonts w:eastAsia="Calibri"/>
        </w:rPr>
        <w:t>формі</w:t>
      </w:r>
      <w:r w:rsidR="00966AB7" w:rsidRPr="00D309E6">
        <w:rPr>
          <w:rFonts w:eastAsia="Calibri"/>
        </w:rPr>
        <w:t>.</w:t>
      </w:r>
    </w:p>
    <w:p w:rsidR="002913DC" w:rsidRPr="00D309E6" w:rsidRDefault="002913DC" w:rsidP="00D309E6">
      <w:pPr>
        <w:spacing w:line="360" w:lineRule="auto"/>
        <w:ind w:firstLine="567"/>
        <w:jc w:val="both"/>
        <w:rPr>
          <w:rFonts w:eastAsia="Calibri"/>
        </w:rPr>
      </w:pPr>
      <w:r w:rsidRPr="00D309E6">
        <w:rPr>
          <w:rFonts w:eastAsia="Calibri"/>
        </w:rPr>
        <w:t>То чому ж розгляд цієї справи не завершився ухваленням рішення по суті?</w:t>
      </w:r>
    </w:p>
    <w:p w:rsidR="002913DC" w:rsidRPr="00D309E6" w:rsidRDefault="001E1818" w:rsidP="00D309E6">
      <w:pPr>
        <w:spacing w:line="360" w:lineRule="auto"/>
        <w:ind w:firstLine="567"/>
        <w:jc w:val="both"/>
        <w:rPr>
          <w:rFonts w:eastAsia="Calibri"/>
        </w:rPr>
      </w:pPr>
      <w:r w:rsidRPr="00D309E6">
        <w:rPr>
          <w:rFonts w:eastAsia="Calibri"/>
        </w:rPr>
        <w:t>З Ухвали, на мою думку, це не зрозуміло.</w:t>
      </w:r>
    </w:p>
    <w:p w:rsidR="002913DC" w:rsidRPr="00D309E6" w:rsidRDefault="00960B1A" w:rsidP="00D309E6">
      <w:pPr>
        <w:spacing w:line="360" w:lineRule="auto"/>
        <w:ind w:firstLine="567"/>
        <w:jc w:val="both"/>
        <w:rPr>
          <w:rFonts w:eastAsia="Times New Roman"/>
          <w:lang w:eastAsia="uk-UA"/>
        </w:rPr>
      </w:pPr>
      <w:r w:rsidRPr="00D309E6">
        <w:rPr>
          <w:rFonts w:eastAsia="Calibri"/>
        </w:rPr>
        <w:t>Вважаю</w:t>
      </w:r>
      <w:r w:rsidR="002913DC" w:rsidRPr="00D309E6">
        <w:rPr>
          <w:rFonts w:eastAsia="Calibri"/>
        </w:rPr>
        <w:t xml:space="preserve">, що так званий </w:t>
      </w:r>
      <w:r w:rsidR="002913DC" w:rsidRPr="00D309E6">
        <w:rPr>
          <w:rFonts w:eastAsia="Times New Roman"/>
          <w:lang w:eastAsia="uk-UA"/>
        </w:rPr>
        <w:t>сторонній підготовлений читач актів Конституційного Суду ризикує втрати</w:t>
      </w:r>
      <w:r w:rsidR="00444774" w:rsidRPr="00D309E6">
        <w:rPr>
          <w:rFonts w:eastAsia="Times New Roman"/>
          <w:lang w:eastAsia="uk-UA"/>
        </w:rPr>
        <w:t>ти</w:t>
      </w:r>
      <w:r w:rsidR="002913DC" w:rsidRPr="00D309E6">
        <w:rPr>
          <w:rFonts w:eastAsia="Times New Roman"/>
          <w:lang w:eastAsia="uk-UA"/>
        </w:rPr>
        <w:t xml:space="preserve"> останні орієнтири в розумінні того, якого ж слушного моменту чи якої надважливої справи </w:t>
      </w:r>
      <w:r w:rsidR="00A72015" w:rsidRPr="00D309E6">
        <w:rPr>
          <w:rFonts w:eastAsia="Calibri"/>
        </w:rPr>
        <w:t>„</w:t>
      </w:r>
      <w:r w:rsidR="00A72015" w:rsidRPr="00D309E6">
        <w:rPr>
          <w:rFonts w:eastAsia="Times New Roman"/>
          <w:lang w:eastAsia="uk-UA"/>
        </w:rPr>
        <w:t>всього життя</w:t>
      </w:r>
      <w:r w:rsidR="00A72015" w:rsidRPr="00D309E6">
        <w:rPr>
          <w:rFonts w:eastAsia="Calibri"/>
        </w:rPr>
        <w:t>“</w:t>
      </w:r>
      <w:r w:rsidR="00A72015" w:rsidRPr="00D309E6">
        <w:rPr>
          <w:rFonts w:eastAsia="Times New Roman"/>
          <w:lang w:eastAsia="uk-UA"/>
        </w:rPr>
        <w:t xml:space="preserve"> </w:t>
      </w:r>
      <w:r w:rsidR="002913DC" w:rsidRPr="00D309E6">
        <w:rPr>
          <w:rFonts w:eastAsia="Times New Roman"/>
          <w:lang w:eastAsia="uk-UA"/>
        </w:rPr>
        <w:t xml:space="preserve">очікує національний орган конституційного контролю для ухвалення рішення по суті справи. </w:t>
      </w:r>
    </w:p>
    <w:p w:rsidR="001E1818" w:rsidRPr="00D309E6" w:rsidRDefault="002913DC" w:rsidP="00D309E6">
      <w:pPr>
        <w:spacing w:line="360" w:lineRule="auto"/>
        <w:ind w:firstLine="567"/>
        <w:jc w:val="both"/>
        <w:rPr>
          <w:rFonts w:eastAsia="Calibri"/>
        </w:rPr>
      </w:pPr>
      <w:r w:rsidRPr="00D309E6">
        <w:rPr>
          <w:rFonts w:eastAsia="Times New Roman"/>
          <w:lang w:eastAsia="uk-UA"/>
        </w:rPr>
        <w:t>В одному відомому голлівудському фільмі майже на його завершенн</w:t>
      </w:r>
      <w:r w:rsidR="00444774" w:rsidRPr="00D309E6">
        <w:rPr>
          <w:rFonts w:eastAsia="Times New Roman"/>
          <w:lang w:eastAsia="uk-UA"/>
        </w:rPr>
        <w:t>і</w:t>
      </w:r>
      <w:r w:rsidRPr="00D309E6">
        <w:rPr>
          <w:rFonts w:eastAsia="Times New Roman"/>
          <w:lang w:eastAsia="uk-UA"/>
        </w:rPr>
        <w:t xml:space="preserve"> один кіногерой, якого грав Джо</w:t>
      </w:r>
      <w:r w:rsidR="00A72015" w:rsidRPr="00D309E6">
        <w:rPr>
          <w:rFonts w:eastAsia="Times New Roman"/>
          <w:lang w:eastAsia="uk-UA"/>
        </w:rPr>
        <w:t>н</w:t>
      </w:r>
      <w:r w:rsidRPr="00D309E6">
        <w:rPr>
          <w:rFonts w:eastAsia="Times New Roman"/>
          <w:lang w:eastAsia="uk-UA"/>
        </w:rPr>
        <w:t>ні Депп</w:t>
      </w:r>
      <w:r w:rsidR="00A72015" w:rsidRPr="00D309E6">
        <w:rPr>
          <w:rFonts w:eastAsia="Times New Roman"/>
          <w:lang w:eastAsia="uk-UA"/>
        </w:rPr>
        <w:t xml:space="preserve"> (</w:t>
      </w:r>
      <w:r w:rsidR="00A72015" w:rsidRPr="00D309E6">
        <w:rPr>
          <w:i/>
          <w:iCs/>
          <w:shd w:val="clear" w:color="auto" w:fill="FFFFFF"/>
          <w:lang w:val="en"/>
        </w:rPr>
        <w:t>John</w:t>
      </w:r>
      <w:r w:rsidR="00A72015" w:rsidRPr="00D309E6">
        <w:rPr>
          <w:i/>
          <w:iCs/>
          <w:shd w:val="clear" w:color="auto" w:fill="FFFFFF"/>
        </w:rPr>
        <w:t xml:space="preserve"> </w:t>
      </w:r>
      <w:r w:rsidR="00A72015" w:rsidRPr="00D309E6">
        <w:rPr>
          <w:i/>
          <w:iCs/>
          <w:shd w:val="clear" w:color="auto" w:fill="FFFFFF"/>
          <w:lang w:val="en"/>
        </w:rPr>
        <w:t>Christopher</w:t>
      </w:r>
      <w:r w:rsidR="00A72015" w:rsidRPr="00D309E6">
        <w:rPr>
          <w:i/>
          <w:iCs/>
          <w:shd w:val="clear" w:color="auto" w:fill="FFFFFF"/>
        </w:rPr>
        <w:t xml:space="preserve"> </w:t>
      </w:r>
      <w:r w:rsidR="00444774" w:rsidRPr="00D309E6">
        <w:rPr>
          <w:i/>
          <w:iCs/>
          <w:shd w:val="clear" w:color="auto" w:fill="FFFFFF"/>
        </w:rPr>
        <w:t>„</w:t>
      </w:r>
      <w:r w:rsidR="00A72015" w:rsidRPr="00D309E6">
        <w:rPr>
          <w:i/>
          <w:iCs/>
          <w:shd w:val="clear" w:color="auto" w:fill="FFFFFF"/>
          <w:lang w:val="en"/>
        </w:rPr>
        <w:t>Johnny</w:t>
      </w:r>
      <w:r w:rsidR="00444774" w:rsidRPr="00D309E6">
        <w:rPr>
          <w:i/>
          <w:iCs/>
          <w:shd w:val="clear" w:color="auto" w:fill="FFFFFF"/>
        </w:rPr>
        <w:t>“</w:t>
      </w:r>
      <w:r w:rsidR="00A72015" w:rsidRPr="00D309E6">
        <w:rPr>
          <w:i/>
          <w:iCs/>
          <w:shd w:val="clear" w:color="auto" w:fill="FFFFFF"/>
        </w:rPr>
        <w:t xml:space="preserve"> </w:t>
      </w:r>
      <w:r w:rsidR="00A72015" w:rsidRPr="00D309E6">
        <w:rPr>
          <w:i/>
          <w:iCs/>
          <w:shd w:val="clear" w:color="auto" w:fill="FFFFFF"/>
          <w:lang w:val="en"/>
        </w:rPr>
        <w:t>Depp</w:t>
      </w:r>
      <w:r w:rsidR="00A72015" w:rsidRPr="00D309E6">
        <w:rPr>
          <w:i/>
          <w:iCs/>
          <w:shd w:val="clear" w:color="auto" w:fill="FFFFFF"/>
        </w:rPr>
        <w:t xml:space="preserve"> </w:t>
      </w:r>
      <w:r w:rsidR="00A72015" w:rsidRPr="00D309E6">
        <w:rPr>
          <w:i/>
          <w:iCs/>
          <w:shd w:val="clear" w:color="auto" w:fill="FFFFFF"/>
          <w:lang w:val="en"/>
        </w:rPr>
        <w:t>II</w:t>
      </w:r>
      <w:r w:rsidR="00A72015" w:rsidRPr="00D309E6">
        <w:rPr>
          <w:i/>
          <w:iCs/>
          <w:shd w:val="clear" w:color="auto" w:fill="FFFFFF"/>
        </w:rPr>
        <w:t>)</w:t>
      </w:r>
      <w:r w:rsidRPr="00D309E6">
        <w:rPr>
          <w:rFonts w:eastAsia="Times New Roman"/>
          <w:lang w:eastAsia="uk-UA"/>
        </w:rPr>
        <w:t xml:space="preserve">, </w:t>
      </w:r>
      <w:r w:rsidR="00544904" w:rsidRPr="00D309E6">
        <w:rPr>
          <w:rFonts w:eastAsia="Times New Roman"/>
          <w:lang w:eastAsia="uk-UA"/>
        </w:rPr>
        <w:t xml:space="preserve">сказав </w:t>
      </w:r>
      <w:r w:rsidRPr="00D309E6">
        <w:rPr>
          <w:rFonts w:eastAsia="Times New Roman"/>
          <w:lang w:eastAsia="uk-UA"/>
        </w:rPr>
        <w:t>іншому</w:t>
      </w:r>
      <w:r w:rsidR="001E1818" w:rsidRPr="00D309E6">
        <w:rPr>
          <w:rFonts w:eastAsia="Times New Roman"/>
          <w:lang w:eastAsia="uk-UA"/>
        </w:rPr>
        <w:t>,</w:t>
      </w:r>
      <w:r w:rsidRPr="00D309E6">
        <w:rPr>
          <w:rFonts w:eastAsia="Times New Roman"/>
          <w:lang w:eastAsia="uk-UA"/>
        </w:rPr>
        <w:t xml:space="preserve"> у виконанні </w:t>
      </w:r>
      <w:proofErr w:type="spellStart"/>
      <w:r w:rsidRPr="00D309E6">
        <w:rPr>
          <w:rFonts w:eastAsia="Times New Roman"/>
          <w:lang w:eastAsia="uk-UA"/>
        </w:rPr>
        <w:t>Орландо</w:t>
      </w:r>
      <w:proofErr w:type="spellEnd"/>
      <w:r w:rsidRPr="00D309E6">
        <w:rPr>
          <w:rFonts w:eastAsia="Times New Roman"/>
          <w:lang w:eastAsia="uk-UA"/>
        </w:rPr>
        <w:t xml:space="preserve"> </w:t>
      </w:r>
      <w:proofErr w:type="spellStart"/>
      <w:r w:rsidRPr="00D309E6">
        <w:rPr>
          <w:rFonts w:eastAsia="Times New Roman"/>
          <w:lang w:eastAsia="uk-UA"/>
        </w:rPr>
        <w:t>Блума</w:t>
      </w:r>
      <w:proofErr w:type="spellEnd"/>
      <w:r w:rsidR="00A72015" w:rsidRPr="00D309E6">
        <w:rPr>
          <w:rFonts w:eastAsia="Times New Roman"/>
          <w:lang w:eastAsia="uk-UA"/>
        </w:rPr>
        <w:t xml:space="preserve"> </w:t>
      </w:r>
      <w:r w:rsidR="00A72015" w:rsidRPr="00D309E6">
        <w:rPr>
          <w:rFonts w:eastAsia="Times New Roman"/>
          <w:i/>
          <w:lang w:eastAsia="uk-UA"/>
        </w:rPr>
        <w:t>(</w:t>
      </w:r>
      <w:proofErr w:type="spellStart"/>
      <w:r w:rsidR="00A72015" w:rsidRPr="00D309E6">
        <w:rPr>
          <w:rStyle w:val="a5"/>
          <w:bCs/>
          <w:iCs w:val="0"/>
          <w:shd w:val="clear" w:color="auto" w:fill="FFFFFF"/>
        </w:rPr>
        <w:t>Orlando</w:t>
      </w:r>
      <w:proofErr w:type="spellEnd"/>
      <w:r w:rsidR="00444774" w:rsidRPr="00D309E6">
        <w:rPr>
          <w:i/>
          <w:shd w:val="clear" w:color="auto" w:fill="FFFFFF"/>
        </w:rPr>
        <w:t xml:space="preserve"> </w:t>
      </w:r>
      <w:proofErr w:type="spellStart"/>
      <w:r w:rsidR="00A72015" w:rsidRPr="00D309E6">
        <w:rPr>
          <w:i/>
          <w:shd w:val="clear" w:color="auto" w:fill="FFFFFF"/>
        </w:rPr>
        <w:t>Jonathan</w:t>
      </w:r>
      <w:proofErr w:type="spellEnd"/>
      <w:r w:rsidR="00A72015" w:rsidRPr="00D309E6">
        <w:rPr>
          <w:i/>
          <w:shd w:val="clear" w:color="auto" w:fill="FFFFFF"/>
        </w:rPr>
        <w:t xml:space="preserve"> </w:t>
      </w:r>
      <w:proofErr w:type="spellStart"/>
      <w:r w:rsidR="00A72015" w:rsidRPr="00D309E6">
        <w:rPr>
          <w:i/>
          <w:shd w:val="clear" w:color="auto" w:fill="FFFFFF"/>
        </w:rPr>
        <w:t>Blanchard</w:t>
      </w:r>
      <w:proofErr w:type="spellEnd"/>
      <w:r w:rsidR="00444774" w:rsidRPr="00D309E6">
        <w:rPr>
          <w:i/>
          <w:shd w:val="clear" w:color="auto" w:fill="FFFFFF"/>
        </w:rPr>
        <w:t xml:space="preserve"> </w:t>
      </w:r>
      <w:proofErr w:type="spellStart"/>
      <w:r w:rsidR="00A72015" w:rsidRPr="00D309E6">
        <w:rPr>
          <w:rStyle w:val="a5"/>
          <w:bCs/>
          <w:iCs w:val="0"/>
          <w:shd w:val="clear" w:color="auto" w:fill="FFFFFF"/>
        </w:rPr>
        <w:t>Bloom</w:t>
      </w:r>
      <w:proofErr w:type="spellEnd"/>
      <w:r w:rsidR="00A72015" w:rsidRPr="00D309E6">
        <w:rPr>
          <w:rStyle w:val="a5"/>
          <w:bCs/>
          <w:i w:val="0"/>
          <w:iCs w:val="0"/>
          <w:shd w:val="clear" w:color="auto" w:fill="FFFFFF"/>
        </w:rPr>
        <w:t>)</w:t>
      </w:r>
      <w:r w:rsidRPr="00D309E6">
        <w:rPr>
          <w:rFonts w:eastAsia="Times New Roman"/>
          <w:lang w:eastAsia="uk-UA"/>
        </w:rPr>
        <w:t xml:space="preserve">: </w:t>
      </w:r>
      <w:r w:rsidR="00544904" w:rsidRPr="00D309E6">
        <w:rPr>
          <w:rFonts w:eastAsia="Times New Roman"/>
          <w:lang w:eastAsia="uk-UA"/>
        </w:rPr>
        <w:br/>
      </w:r>
      <w:r w:rsidRPr="00D309E6">
        <w:rPr>
          <w:rFonts w:eastAsia="Calibri"/>
        </w:rPr>
        <w:t>„</w:t>
      </w:r>
      <w:r w:rsidRPr="00D309E6">
        <w:rPr>
          <w:rFonts w:eastAsia="Times New Roman"/>
          <w:lang w:eastAsia="uk-UA"/>
        </w:rPr>
        <w:t>якщо ти чекав слушного моменту, то це був він</w:t>
      </w:r>
      <w:r w:rsidR="001E1818" w:rsidRPr="00D309E6">
        <w:rPr>
          <w:rFonts w:eastAsia="Calibri"/>
        </w:rPr>
        <w:t xml:space="preserve">“. Був у </w:t>
      </w:r>
      <w:r w:rsidR="00960B1A" w:rsidRPr="00D309E6">
        <w:rPr>
          <w:rFonts w:eastAsia="Calibri"/>
        </w:rPr>
        <w:t xml:space="preserve">тому </w:t>
      </w:r>
      <w:r w:rsidR="001E1818" w:rsidRPr="00D309E6">
        <w:rPr>
          <w:rFonts w:eastAsia="Calibri"/>
        </w:rPr>
        <w:t xml:space="preserve">розумінні, що ти </w:t>
      </w:r>
      <w:r w:rsidR="00544904" w:rsidRPr="00D309E6">
        <w:rPr>
          <w:rFonts w:eastAsia="Calibri"/>
        </w:rPr>
        <w:t>його щойно</w:t>
      </w:r>
      <w:r w:rsidR="001E1818" w:rsidRPr="00D309E6">
        <w:rPr>
          <w:rFonts w:eastAsia="Calibri"/>
        </w:rPr>
        <w:t xml:space="preserve"> </w:t>
      </w:r>
      <w:r w:rsidR="00A72015" w:rsidRPr="00D309E6">
        <w:rPr>
          <w:rFonts w:eastAsia="Calibri"/>
        </w:rPr>
        <w:t xml:space="preserve">безповоротно </w:t>
      </w:r>
      <w:r w:rsidR="001E1818" w:rsidRPr="00D309E6">
        <w:rPr>
          <w:rFonts w:eastAsia="Calibri"/>
        </w:rPr>
        <w:t xml:space="preserve">втратив. </w:t>
      </w:r>
    </w:p>
    <w:p w:rsidR="006F41B3" w:rsidRDefault="001E1818" w:rsidP="00D309E6">
      <w:pPr>
        <w:spacing w:line="360" w:lineRule="auto"/>
        <w:ind w:firstLine="567"/>
        <w:jc w:val="both"/>
        <w:rPr>
          <w:rFonts w:eastAsia="Times New Roman"/>
          <w:iCs/>
          <w:lang w:eastAsia="uk-UA"/>
        </w:rPr>
      </w:pPr>
      <w:r w:rsidRPr="00D309E6">
        <w:rPr>
          <w:rFonts w:eastAsia="Times New Roman"/>
          <w:iCs/>
          <w:lang w:eastAsia="uk-UA"/>
        </w:rPr>
        <w:t>Конституційний Суд, уникаючи ухвалення непростих рішень, ризикує втратити авторитет, довіру та сенс свого існування.</w:t>
      </w:r>
    </w:p>
    <w:p w:rsidR="00D309E6" w:rsidRDefault="00D309E6" w:rsidP="00D309E6">
      <w:pPr>
        <w:ind w:firstLine="567"/>
        <w:jc w:val="both"/>
        <w:rPr>
          <w:rFonts w:eastAsia="Times New Roman"/>
          <w:iCs/>
          <w:lang w:eastAsia="uk-UA"/>
        </w:rPr>
      </w:pPr>
    </w:p>
    <w:p w:rsidR="00D309E6" w:rsidRDefault="00D309E6" w:rsidP="00D309E6">
      <w:pPr>
        <w:ind w:firstLine="567"/>
        <w:jc w:val="both"/>
      </w:pPr>
    </w:p>
    <w:p w:rsidR="00D309E6" w:rsidRPr="003A2D58" w:rsidRDefault="00D309E6" w:rsidP="00D309E6">
      <w:pPr>
        <w:pStyle w:val="20"/>
        <w:spacing w:after="0" w:line="240" w:lineRule="auto"/>
        <w:ind w:firstLine="567"/>
        <w:jc w:val="both"/>
        <w:rPr>
          <w:sz w:val="28"/>
          <w:szCs w:val="28"/>
        </w:rPr>
      </w:pPr>
      <w:r w:rsidRPr="003A2D58">
        <w:rPr>
          <w:sz w:val="28"/>
          <w:szCs w:val="28"/>
        </w:rPr>
        <w:t>Суддя</w:t>
      </w:r>
      <w:r>
        <w:rPr>
          <w:sz w:val="28"/>
          <w:szCs w:val="28"/>
        </w:rPr>
        <w:t xml:space="preserve"> </w:t>
      </w:r>
    </w:p>
    <w:p w:rsidR="00D309E6" w:rsidRPr="00D309E6" w:rsidRDefault="00D309E6" w:rsidP="00D309E6">
      <w:pPr>
        <w:pStyle w:val="20"/>
        <w:tabs>
          <w:tab w:val="right" w:pos="9638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3A2D58">
        <w:rPr>
          <w:sz w:val="28"/>
          <w:szCs w:val="28"/>
        </w:rPr>
        <w:t>Конституційного</w:t>
      </w:r>
      <w:r>
        <w:rPr>
          <w:sz w:val="28"/>
          <w:szCs w:val="28"/>
        </w:rPr>
        <w:t xml:space="preserve"> </w:t>
      </w:r>
      <w:r w:rsidRPr="003A2D58">
        <w:rPr>
          <w:sz w:val="28"/>
          <w:szCs w:val="28"/>
        </w:rPr>
        <w:t>Суду</w:t>
      </w:r>
      <w:r>
        <w:rPr>
          <w:sz w:val="28"/>
          <w:szCs w:val="28"/>
        </w:rPr>
        <w:t xml:space="preserve"> </w:t>
      </w:r>
      <w:r w:rsidRPr="003A2D58">
        <w:rPr>
          <w:sz w:val="28"/>
          <w:szCs w:val="28"/>
        </w:rPr>
        <w:t>України</w:t>
      </w:r>
      <w:r w:rsidRPr="003A2D58">
        <w:rPr>
          <w:sz w:val="28"/>
          <w:szCs w:val="28"/>
        </w:rPr>
        <w:tab/>
      </w:r>
      <w:r w:rsidRPr="003A2D58">
        <w:rPr>
          <w:b/>
          <w:sz w:val="28"/>
          <w:szCs w:val="28"/>
        </w:rPr>
        <w:t>Олег</w:t>
      </w:r>
      <w:r>
        <w:rPr>
          <w:b/>
          <w:sz w:val="28"/>
          <w:szCs w:val="28"/>
        </w:rPr>
        <w:t xml:space="preserve"> </w:t>
      </w:r>
      <w:r w:rsidRPr="003A2D58">
        <w:rPr>
          <w:b/>
          <w:sz w:val="28"/>
          <w:szCs w:val="28"/>
        </w:rPr>
        <w:t>ПЕРВОМАЙСЬКИЙ</w:t>
      </w:r>
    </w:p>
    <w:sectPr w:rsidR="00D309E6" w:rsidRPr="00D309E6" w:rsidSect="00D309E6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E6" w:rsidRDefault="00D309E6" w:rsidP="00D309E6">
      <w:r>
        <w:separator/>
      </w:r>
    </w:p>
  </w:endnote>
  <w:endnote w:type="continuationSeparator" w:id="0">
    <w:p w:rsidR="00D309E6" w:rsidRDefault="00D309E6" w:rsidP="00D30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E6" w:rsidRPr="00D309E6" w:rsidRDefault="00D309E6">
    <w:pPr>
      <w:pStyle w:val="aa"/>
      <w:rPr>
        <w:sz w:val="10"/>
        <w:szCs w:val="10"/>
      </w:rPr>
    </w:pPr>
    <w:r w:rsidRPr="00D309E6">
      <w:rPr>
        <w:sz w:val="10"/>
        <w:szCs w:val="10"/>
      </w:rPr>
      <w:fldChar w:fldCharType="begin"/>
    </w:r>
    <w:r w:rsidRPr="00D309E6">
      <w:rPr>
        <w:sz w:val="10"/>
        <w:szCs w:val="10"/>
        <w:lang w:val="ru-RU"/>
      </w:rPr>
      <w:instrText xml:space="preserve"> FILENAME \p \* MERGEFORMAT </w:instrText>
    </w:r>
    <w:r w:rsidRPr="00D309E6">
      <w:rPr>
        <w:sz w:val="10"/>
        <w:szCs w:val="10"/>
      </w:rPr>
      <w:fldChar w:fldCharType="separate"/>
    </w:r>
    <w:r>
      <w:rPr>
        <w:noProof/>
        <w:sz w:val="10"/>
        <w:szCs w:val="10"/>
        <w:lang w:val="ru-RU"/>
      </w:rPr>
      <w:t>G:\2024\Suddi\Dumka\16.docx</w:t>
    </w:r>
    <w:r w:rsidRPr="00D309E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9E6" w:rsidRPr="00D309E6" w:rsidRDefault="00D309E6">
    <w:pPr>
      <w:pStyle w:val="aa"/>
      <w:rPr>
        <w:sz w:val="10"/>
        <w:szCs w:val="10"/>
      </w:rPr>
    </w:pPr>
    <w:r w:rsidRPr="00D309E6">
      <w:rPr>
        <w:sz w:val="10"/>
        <w:szCs w:val="10"/>
      </w:rPr>
      <w:fldChar w:fldCharType="begin"/>
    </w:r>
    <w:r w:rsidRPr="00D309E6">
      <w:rPr>
        <w:sz w:val="10"/>
        <w:szCs w:val="10"/>
        <w:lang w:val="ru-RU"/>
      </w:rPr>
      <w:instrText xml:space="preserve"> FILENAME \p \* MERGEFORMAT </w:instrText>
    </w:r>
    <w:r w:rsidRPr="00D309E6">
      <w:rPr>
        <w:sz w:val="10"/>
        <w:szCs w:val="10"/>
      </w:rPr>
      <w:fldChar w:fldCharType="separate"/>
    </w:r>
    <w:r>
      <w:rPr>
        <w:noProof/>
        <w:sz w:val="10"/>
        <w:szCs w:val="10"/>
        <w:lang w:val="ru-RU"/>
      </w:rPr>
      <w:t>G:\2024\Suddi\Dumka\16.docx</w:t>
    </w:r>
    <w:r w:rsidRPr="00D309E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E6" w:rsidRDefault="00D309E6" w:rsidP="00D309E6">
      <w:r>
        <w:separator/>
      </w:r>
    </w:p>
  </w:footnote>
  <w:footnote w:type="continuationSeparator" w:id="0">
    <w:p w:rsidR="00D309E6" w:rsidRDefault="00D309E6" w:rsidP="00D30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3393218"/>
      <w:docPartObj>
        <w:docPartGallery w:val="Page Numbers (Top of Page)"/>
        <w:docPartUnique/>
      </w:docPartObj>
    </w:sdtPr>
    <w:sdtContent>
      <w:p w:rsidR="00D309E6" w:rsidRDefault="00D309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AA"/>
    <w:rsid w:val="000B69C3"/>
    <w:rsid w:val="000E7179"/>
    <w:rsid w:val="00103C03"/>
    <w:rsid w:val="00120C5D"/>
    <w:rsid w:val="00167EE5"/>
    <w:rsid w:val="001A5489"/>
    <w:rsid w:val="001E1818"/>
    <w:rsid w:val="001E6D5B"/>
    <w:rsid w:val="00202826"/>
    <w:rsid w:val="00252048"/>
    <w:rsid w:val="002913DC"/>
    <w:rsid w:val="002B6686"/>
    <w:rsid w:val="003232DD"/>
    <w:rsid w:val="00332DD7"/>
    <w:rsid w:val="003A7CB3"/>
    <w:rsid w:val="003B0CF9"/>
    <w:rsid w:val="004016C0"/>
    <w:rsid w:val="00444774"/>
    <w:rsid w:val="00447CDA"/>
    <w:rsid w:val="00493683"/>
    <w:rsid w:val="004A1095"/>
    <w:rsid w:val="004B54E2"/>
    <w:rsid w:val="004C279A"/>
    <w:rsid w:val="005244FF"/>
    <w:rsid w:val="00544904"/>
    <w:rsid w:val="005562D0"/>
    <w:rsid w:val="00592F1B"/>
    <w:rsid w:val="005C1FE9"/>
    <w:rsid w:val="005E26BF"/>
    <w:rsid w:val="005E79A3"/>
    <w:rsid w:val="00620FA3"/>
    <w:rsid w:val="00674F76"/>
    <w:rsid w:val="00683E72"/>
    <w:rsid w:val="006A6698"/>
    <w:rsid w:val="006B3C1E"/>
    <w:rsid w:val="006F41B3"/>
    <w:rsid w:val="007054CD"/>
    <w:rsid w:val="00793AAA"/>
    <w:rsid w:val="007C5AEF"/>
    <w:rsid w:val="007D1D66"/>
    <w:rsid w:val="00860B46"/>
    <w:rsid w:val="008A6850"/>
    <w:rsid w:val="008C1F6E"/>
    <w:rsid w:val="008C4ED2"/>
    <w:rsid w:val="008D4C68"/>
    <w:rsid w:val="009428D5"/>
    <w:rsid w:val="00943499"/>
    <w:rsid w:val="00955171"/>
    <w:rsid w:val="00960B1A"/>
    <w:rsid w:val="00966AB7"/>
    <w:rsid w:val="009A5A41"/>
    <w:rsid w:val="009E793B"/>
    <w:rsid w:val="00A5793C"/>
    <w:rsid w:val="00A72015"/>
    <w:rsid w:val="00A85234"/>
    <w:rsid w:val="00A9020C"/>
    <w:rsid w:val="00AC085F"/>
    <w:rsid w:val="00AD4096"/>
    <w:rsid w:val="00B56EF7"/>
    <w:rsid w:val="00B87D42"/>
    <w:rsid w:val="00C47737"/>
    <w:rsid w:val="00C51C76"/>
    <w:rsid w:val="00C538B8"/>
    <w:rsid w:val="00CD66A7"/>
    <w:rsid w:val="00D017D9"/>
    <w:rsid w:val="00D176DC"/>
    <w:rsid w:val="00D309E6"/>
    <w:rsid w:val="00D30E09"/>
    <w:rsid w:val="00D80BB2"/>
    <w:rsid w:val="00E251FE"/>
    <w:rsid w:val="00EB761A"/>
    <w:rsid w:val="00EC38A5"/>
    <w:rsid w:val="00F62B21"/>
    <w:rsid w:val="00F97A8C"/>
    <w:rsid w:val="00FD3428"/>
    <w:rsid w:val="00FD3E0E"/>
    <w:rsid w:val="00FE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E8D3"/>
  <w15:chartTrackingRefBased/>
  <w15:docId w15:val="{48528B02-FD20-4AB3-875D-EE167FF8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311,baiaagaaboqcaaadiboaaauuggaaaaaaaaaaaaaaaaaaaaaaaaaaaaaaaaaaaaaaaaaaaaaaaaaaaaaaaaaaaaaaaaaaaaaaaaaaaaaaaaaaaaaaaaaaaaaaaaaaaaaaaaaaaaaaaaaaaaaaaaaaaaaaaaaaaaaaaaaaaaaaaaaaaaaaaaaaaaaaaaaaaaaaaaaaaaaaaaaaaaaaaaaaaaaaaaaaaaaaaaaaaaaa"/>
    <w:basedOn w:val="a"/>
    <w:rsid w:val="00793AAA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793AAA"/>
    <w:pPr>
      <w:spacing w:before="100" w:beforeAutospacing="1" w:after="100" w:afterAutospacing="1"/>
    </w:pPr>
    <w:rPr>
      <w:rFonts w:eastAsia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252048"/>
    <w:pPr>
      <w:ind w:left="720"/>
      <w:contextualSpacing/>
    </w:pPr>
  </w:style>
  <w:style w:type="character" w:styleId="a5">
    <w:name w:val="Emphasis"/>
    <w:basedOn w:val="a0"/>
    <w:uiPriority w:val="20"/>
    <w:qFormat/>
    <w:rsid w:val="00A720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87D42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B87D42"/>
    <w:rPr>
      <w:rFonts w:ascii="Segoe UI" w:hAnsi="Segoe UI" w:cs="Segoe UI"/>
      <w:sz w:val="18"/>
      <w:szCs w:val="18"/>
    </w:rPr>
  </w:style>
  <w:style w:type="character" w:customStyle="1" w:styleId="2">
    <w:name w:val="Основний текст (2)_"/>
    <w:basedOn w:val="a0"/>
    <w:link w:val="20"/>
    <w:rsid w:val="00D309E6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D309E6"/>
    <w:pPr>
      <w:shd w:val="clear" w:color="auto" w:fill="FFFFFF"/>
      <w:spacing w:after="420" w:line="0" w:lineRule="atLeast"/>
    </w:pPr>
    <w:rPr>
      <w:rFonts w:eastAsia="Times New Roman"/>
      <w:sz w:val="27"/>
      <w:szCs w:val="27"/>
    </w:rPr>
  </w:style>
  <w:style w:type="paragraph" w:styleId="a8">
    <w:name w:val="header"/>
    <w:basedOn w:val="a"/>
    <w:link w:val="a9"/>
    <w:uiPriority w:val="99"/>
    <w:unhideWhenUsed/>
    <w:rsid w:val="00D309E6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309E6"/>
  </w:style>
  <w:style w:type="paragraph" w:styleId="aa">
    <w:name w:val="footer"/>
    <w:basedOn w:val="a"/>
    <w:link w:val="ab"/>
    <w:uiPriority w:val="99"/>
    <w:unhideWhenUsed/>
    <w:rsid w:val="00D309E6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D30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3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40879-9524-4C4F-8D1D-3C7FBF37B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7222</Words>
  <Characters>4117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Ковальова</dc:creator>
  <cp:keywords/>
  <dc:description/>
  <cp:lastModifiedBy>Валентина М. Поліщук</cp:lastModifiedBy>
  <cp:revision>3</cp:revision>
  <cp:lastPrinted>2024-10-14T13:21:00Z</cp:lastPrinted>
  <dcterms:created xsi:type="dcterms:W3CDTF">2024-10-14T13:16:00Z</dcterms:created>
  <dcterms:modified xsi:type="dcterms:W3CDTF">2024-10-14T13:22:00Z</dcterms:modified>
</cp:coreProperties>
</file>