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EC7304" w:rsidRDefault="00EC7304" w:rsidP="00EC7304">
      <w:pPr>
        <w:pStyle w:val="af0"/>
        <w:jc w:val="both"/>
        <w:rPr>
          <w:b/>
          <w:sz w:val="28"/>
          <w:szCs w:val="28"/>
        </w:rPr>
      </w:pPr>
    </w:p>
    <w:p w:rsidR="00321501" w:rsidRPr="00EC7304" w:rsidRDefault="00E716C4" w:rsidP="00EC7304">
      <w:pPr>
        <w:pStyle w:val="af0"/>
        <w:tabs>
          <w:tab w:val="center" w:pos="4820"/>
        </w:tabs>
        <w:jc w:val="both"/>
        <w:rPr>
          <w:b/>
          <w:sz w:val="28"/>
          <w:szCs w:val="28"/>
        </w:rPr>
      </w:pPr>
      <w:r w:rsidRPr="00EC7304">
        <w:rPr>
          <w:b/>
          <w:sz w:val="28"/>
          <w:szCs w:val="28"/>
        </w:rPr>
        <w:t xml:space="preserve">про закриття конституційного провадження </w:t>
      </w:r>
      <w:r w:rsidR="009E5F31" w:rsidRPr="00EC7304">
        <w:rPr>
          <w:b/>
          <w:sz w:val="28"/>
          <w:szCs w:val="28"/>
        </w:rPr>
        <w:t xml:space="preserve">у справі за </w:t>
      </w:r>
      <w:r w:rsidR="000312A8" w:rsidRPr="00EC7304">
        <w:rPr>
          <w:b/>
          <w:bCs/>
          <w:sz w:val="28"/>
          <w:szCs w:val="28"/>
        </w:rPr>
        <w:t>конституційн</w:t>
      </w:r>
      <w:r w:rsidR="00ED3AD4" w:rsidRPr="00EC7304">
        <w:rPr>
          <w:b/>
          <w:bCs/>
          <w:sz w:val="28"/>
          <w:szCs w:val="28"/>
        </w:rPr>
        <w:t>ими</w:t>
      </w:r>
      <w:r w:rsidR="000312A8" w:rsidRPr="00EC7304">
        <w:rPr>
          <w:b/>
          <w:bCs/>
          <w:sz w:val="28"/>
          <w:szCs w:val="28"/>
        </w:rPr>
        <w:t xml:space="preserve"> скарг</w:t>
      </w:r>
      <w:r w:rsidR="00ED3AD4" w:rsidRPr="00EC7304">
        <w:rPr>
          <w:b/>
          <w:bCs/>
          <w:sz w:val="28"/>
          <w:szCs w:val="28"/>
        </w:rPr>
        <w:t>ами</w:t>
      </w:r>
      <w:r w:rsidR="000312A8" w:rsidRPr="00EC7304">
        <w:rPr>
          <w:b/>
          <w:bCs/>
          <w:sz w:val="28"/>
          <w:szCs w:val="28"/>
        </w:rPr>
        <w:t xml:space="preserve"> </w:t>
      </w:r>
      <w:r w:rsidR="00321501" w:rsidRPr="00EC7304">
        <w:rPr>
          <w:b/>
          <w:sz w:val="28"/>
          <w:szCs w:val="28"/>
        </w:rPr>
        <w:t xml:space="preserve">Соломахи Людмили Іванівни та Бурбака Валерія Миколайовича щодо відповідності Конституції України (конституційності) </w:t>
      </w:r>
      <w:r w:rsidR="00BA191A" w:rsidRPr="00EC7304">
        <w:rPr>
          <w:b/>
          <w:sz w:val="28"/>
          <w:szCs w:val="28"/>
        </w:rPr>
        <w:t>положень</w:t>
      </w:r>
      <w:r w:rsidR="00321501" w:rsidRPr="00EC7304">
        <w:rPr>
          <w:b/>
          <w:sz w:val="28"/>
          <w:szCs w:val="28"/>
        </w:rPr>
        <w:t xml:space="preserve"> частини третьої статті 142 Закону України „Про судоустрій і статус суддів“ </w:t>
      </w:r>
      <w:r w:rsidR="00EC7304">
        <w:rPr>
          <w:b/>
          <w:sz w:val="28"/>
          <w:szCs w:val="28"/>
        </w:rPr>
        <w:br/>
      </w:r>
      <w:r w:rsidR="00EC7304">
        <w:rPr>
          <w:b/>
          <w:sz w:val="28"/>
          <w:szCs w:val="28"/>
        </w:rPr>
        <w:tab/>
      </w:r>
      <w:r w:rsidR="00321501" w:rsidRPr="00EC7304">
        <w:rPr>
          <w:b/>
          <w:sz w:val="28"/>
          <w:szCs w:val="28"/>
        </w:rPr>
        <w:t xml:space="preserve">від 2 червня 2016 року </w:t>
      </w:r>
      <w:r w:rsidR="000236F7">
        <w:rPr>
          <w:b/>
          <w:sz w:val="28"/>
          <w:szCs w:val="28"/>
        </w:rPr>
        <w:t xml:space="preserve">№ </w:t>
      </w:r>
      <w:r w:rsidR="00321501" w:rsidRPr="00EC7304">
        <w:rPr>
          <w:b/>
          <w:sz w:val="28"/>
          <w:szCs w:val="28"/>
        </w:rPr>
        <w:t>1402–VIII</w:t>
      </w:r>
    </w:p>
    <w:p w:rsidR="0070780F" w:rsidRDefault="0070780F" w:rsidP="00EC7304">
      <w:pPr>
        <w:pStyle w:val="af0"/>
        <w:jc w:val="both"/>
        <w:rPr>
          <w:bCs/>
          <w:sz w:val="28"/>
          <w:szCs w:val="28"/>
        </w:rPr>
      </w:pPr>
    </w:p>
    <w:p w:rsidR="00321501" w:rsidRPr="00EC7304" w:rsidRDefault="00321501" w:rsidP="00CE6BE0">
      <w:pPr>
        <w:pStyle w:val="af0"/>
        <w:tabs>
          <w:tab w:val="right" w:pos="9638"/>
        </w:tabs>
        <w:jc w:val="both"/>
        <w:rPr>
          <w:sz w:val="28"/>
          <w:szCs w:val="28"/>
        </w:rPr>
      </w:pPr>
      <w:r w:rsidRPr="00EC7304">
        <w:rPr>
          <w:sz w:val="28"/>
          <w:szCs w:val="28"/>
        </w:rPr>
        <w:t>К и ї в</w:t>
      </w:r>
      <w:r w:rsidR="00CE6BE0">
        <w:rPr>
          <w:sz w:val="28"/>
          <w:szCs w:val="28"/>
        </w:rPr>
        <w:t xml:space="preserve"> </w:t>
      </w:r>
      <w:r w:rsidR="00CE6BE0">
        <w:rPr>
          <w:sz w:val="28"/>
          <w:szCs w:val="28"/>
        </w:rPr>
        <w:tab/>
      </w:r>
      <w:r w:rsidRPr="00EC7304">
        <w:rPr>
          <w:sz w:val="28"/>
          <w:szCs w:val="28"/>
        </w:rPr>
        <w:t xml:space="preserve">Справа </w:t>
      </w:r>
      <w:r w:rsidR="000236F7">
        <w:rPr>
          <w:sz w:val="28"/>
          <w:szCs w:val="28"/>
        </w:rPr>
        <w:t xml:space="preserve">№ </w:t>
      </w:r>
      <w:r w:rsidRPr="00EC7304">
        <w:rPr>
          <w:sz w:val="28"/>
          <w:szCs w:val="28"/>
        </w:rPr>
        <w:t>3-182/2021(375/21</w:t>
      </w:r>
      <w:r w:rsidR="00CE6BE0">
        <w:rPr>
          <w:sz w:val="28"/>
          <w:szCs w:val="28"/>
        </w:rPr>
        <w:t>, 480/21</w:t>
      </w:r>
      <w:r w:rsidRPr="00EC7304">
        <w:rPr>
          <w:sz w:val="28"/>
          <w:szCs w:val="28"/>
        </w:rPr>
        <w:t>)</w:t>
      </w:r>
    </w:p>
    <w:p w:rsidR="00321501" w:rsidRPr="00EC7304" w:rsidRDefault="00EC327A" w:rsidP="00EC7304">
      <w:pPr>
        <w:pStyle w:val="af0"/>
        <w:jc w:val="both"/>
        <w:rPr>
          <w:sz w:val="28"/>
          <w:szCs w:val="28"/>
        </w:rPr>
      </w:pPr>
      <w:r w:rsidRPr="00EC7304">
        <w:rPr>
          <w:sz w:val="28"/>
          <w:szCs w:val="28"/>
        </w:rPr>
        <w:t>16</w:t>
      </w:r>
      <w:r w:rsidR="00F62B7B" w:rsidRPr="00EC7304">
        <w:rPr>
          <w:sz w:val="28"/>
          <w:szCs w:val="28"/>
        </w:rPr>
        <w:t xml:space="preserve"> листопада</w:t>
      </w:r>
      <w:r w:rsidR="00321501" w:rsidRPr="00EC7304">
        <w:rPr>
          <w:sz w:val="28"/>
          <w:szCs w:val="28"/>
        </w:rPr>
        <w:t xml:space="preserve"> 2022 року</w:t>
      </w:r>
    </w:p>
    <w:p w:rsidR="00321501" w:rsidRPr="00EC7304" w:rsidRDefault="000236F7" w:rsidP="00EC7304">
      <w:pPr>
        <w:pStyle w:val="af0"/>
        <w:jc w:val="both"/>
        <w:rPr>
          <w:sz w:val="28"/>
          <w:szCs w:val="28"/>
        </w:rPr>
      </w:pPr>
      <w:r>
        <w:rPr>
          <w:sz w:val="28"/>
          <w:szCs w:val="28"/>
        </w:rPr>
        <w:t xml:space="preserve">№ </w:t>
      </w:r>
      <w:bookmarkStart w:id="0" w:name="_GoBack"/>
      <w:r w:rsidR="00EC327A" w:rsidRPr="00EC7304">
        <w:rPr>
          <w:sz w:val="28"/>
          <w:szCs w:val="28"/>
        </w:rPr>
        <w:t>9</w:t>
      </w:r>
      <w:r w:rsidR="00321501" w:rsidRPr="00EC7304">
        <w:rPr>
          <w:sz w:val="28"/>
          <w:szCs w:val="28"/>
        </w:rPr>
        <w:t>-уп(ІІ)</w:t>
      </w:r>
      <w:bookmarkEnd w:id="0"/>
      <w:r w:rsidR="00321501" w:rsidRPr="00EC7304">
        <w:rPr>
          <w:sz w:val="28"/>
          <w:szCs w:val="28"/>
        </w:rPr>
        <w:t>/2022</w:t>
      </w:r>
    </w:p>
    <w:p w:rsidR="00EC7304" w:rsidRPr="00EC7304" w:rsidRDefault="00EC7304" w:rsidP="00EC7304">
      <w:pPr>
        <w:pStyle w:val="af0"/>
        <w:rPr>
          <w:bCs/>
          <w:sz w:val="28"/>
          <w:szCs w:val="28"/>
        </w:rPr>
      </w:pPr>
    </w:p>
    <w:p w:rsidR="00321501" w:rsidRPr="00EC7304" w:rsidRDefault="00321501" w:rsidP="00EC7304">
      <w:pPr>
        <w:pStyle w:val="af0"/>
        <w:ind w:firstLine="567"/>
        <w:jc w:val="both"/>
        <w:rPr>
          <w:sz w:val="28"/>
          <w:szCs w:val="28"/>
        </w:rPr>
      </w:pPr>
      <w:r w:rsidRPr="00EC7304">
        <w:rPr>
          <w:sz w:val="28"/>
          <w:szCs w:val="28"/>
        </w:rPr>
        <w:t>Другий сенат Конституційного Суду України у складі:</w:t>
      </w:r>
    </w:p>
    <w:p w:rsidR="00321501" w:rsidRPr="00EC7304" w:rsidRDefault="00321501" w:rsidP="00EC7304">
      <w:pPr>
        <w:pStyle w:val="af0"/>
        <w:ind w:firstLine="567"/>
        <w:jc w:val="both"/>
        <w:rPr>
          <w:sz w:val="28"/>
          <w:szCs w:val="28"/>
        </w:rPr>
      </w:pPr>
    </w:p>
    <w:p w:rsidR="00321501" w:rsidRPr="00EC7304" w:rsidRDefault="00321501" w:rsidP="00EC7304">
      <w:pPr>
        <w:pStyle w:val="af0"/>
        <w:ind w:firstLine="567"/>
        <w:jc w:val="both"/>
        <w:rPr>
          <w:sz w:val="28"/>
          <w:szCs w:val="28"/>
        </w:rPr>
      </w:pPr>
      <w:r w:rsidRPr="00EC7304">
        <w:rPr>
          <w:sz w:val="28"/>
          <w:szCs w:val="28"/>
        </w:rPr>
        <w:t>Головатий Сергій Петрович (голова засідання),</w:t>
      </w:r>
    </w:p>
    <w:p w:rsidR="00321501" w:rsidRPr="00EC7304" w:rsidRDefault="00321501" w:rsidP="00EC7304">
      <w:pPr>
        <w:pStyle w:val="af0"/>
        <w:ind w:firstLine="567"/>
        <w:jc w:val="both"/>
        <w:rPr>
          <w:sz w:val="28"/>
          <w:szCs w:val="28"/>
        </w:rPr>
      </w:pPr>
      <w:r w:rsidRPr="00EC7304">
        <w:rPr>
          <w:sz w:val="28"/>
          <w:szCs w:val="28"/>
        </w:rPr>
        <w:t>Городовенко Віктор Валентинович,</w:t>
      </w:r>
    </w:p>
    <w:p w:rsidR="00321501" w:rsidRPr="00EC7304" w:rsidRDefault="00321501" w:rsidP="00EC7304">
      <w:pPr>
        <w:pStyle w:val="af0"/>
        <w:ind w:firstLine="567"/>
        <w:jc w:val="both"/>
        <w:rPr>
          <w:sz w:val="28"/>
          <w:szCs w:val="28"/>
        </w:rPr>
      </w:pPr>
      <w:r w:rsidRPr="00EC7304">
        <w:rPr>
          <w:sz w:val="28"/>
          <w:szCs w:val="28"/>
        </w:rPr>
        <w:t>Лемак Василь Васильович,</w:t>
      </w:r>
    </w:p>
    <w:p w:rsidR="00321501" w:rsidRPr="00EC7304" w:rsidRDefault="00321501" w:rsidP="00EC7304">
      <w:pPr>
        <w:pStyle w:val="af0"/>
        <w:ind w:firstLine="567"/>
        <w:jc w:val="both"/>
        <w:rPr>
          <w:sz w:val="28"/>
          <w:szCs w:val="28"/>
        </w:rPr>
      </w:pPr>
      <w:r w:rsidRPr="00EC7304">
        <w:rPr>
          <w:sz w:val="28"/>
          <w:szCs w:val="28"/>
        </w:rPr>
        <w:t>Мойсик Володимир Романович (доповідач),</w:t>
      </w:r>
    </w:p>
    <w:p w:rsidR="00321501" w:rsidRPr="00EC7304" w:rsidRDefault="00321501" w:rsidP="00EC7304">
      <w:pPr>
        <w:pStyle w:val="af0"/>
        <w:ind w:firstLine="567"/>
        <w:jc w:val="both"/>
        <w:rPr>
          <w:sz w:val="28"/>
          <w:szCs w:val="28"/>
        </w:rPr>
      </w:pPr>
      <w:r w:rsidRPr="00EC7304">
        <w:rPr>
          <w:sz w:val="28"/>
          <w:szCs w:val="28"/>
        </w:rPr>
        <w:t>Первомайський Олег Олексійович,</w:t>
      </w:r>
    </w:p>
    <w:p w:rsidR="00321501" w:rsidRPr="00EC7304" w:rsidRDefault="00321501" w:rsidP="00EC7304">
      <w:pPr>
        <w:pStyle w:val="af0"/>
        <w:ind w:firstLine="567"/>
        <w:jc w:val="both"/>
        <w:rPr>
          <w:sz w:val="28"/>
          <w:szCs w:val="28"/>
        </w:rPr>
      </w:pPr>
      <w:r w:rsidRPr="00EC7304">
        <w:rPr>
          <w:sz w:val="28"/>
          <w:szCs w:val="28"/>
        </w:rPr>
        <w:t>Сліденко Ігор Дмитрович,</w:t>
      </w:r>
    </w:p>
    <w:p w:rsidR="00321501" w:rsidRPr="00EC7304" w:rsidRDefault="00321501" w:rsidP="00EC7304">
      <w:pPr>
        <w:pStyle w:val="af0"/>
        <w:ind w:firstLine="567"/>
        <w:jc w:val="both"/>
        <w:rPr>
          <w:sz w:val="28"/>
          <w:szCs w:val="28"/>
        </w:rPr>
      </w:pPr>
      <w:r w:rsidRPr="00EC7304">
        <w:rPr>
          <w:sz w:val="28"/>
          <w:szCs w:val="28"/>
        </w:rPr>
        <w:t>Юровська Галина Валентинівна (доповідач),</w:t>
      </w:r>
    </w:p>
    <w:p w:rsidR="00765A70" w:rsidRPr="00EC7304" w:rsidRDefault="00765A70" w:rsidP="00EC7304">
      <w:pPr>
        <w:pStyle w:val="af0"/>
        <w:ind w:firstLine="567"/>
        <w:jc w:val="both"/>
        <w:rPr>
          <w:sz w:val="28"/>
          <w:szCs w:val="28"/>
        </w:rPr>
      </w:pPr>
    </w:p>
    <w:p w:rsidR="00321501" w:rsidRPr="00EC7304" w:rsidRDefault="00321501" w:rsidP="00EC7304">
      <w:pPr>
        <w:pStyle w:val="af0"/>
        <w:spacing w:line="336" w:lineRule="auto"/>
        <w:ind w:firstLine="567"/>
        <w:jc w:val="both"/>
        <w:rPr>
          <w:sz w:val="28"/>
          <w:szCs w:val="28"/>
        </w:rPr>
      </w:pPr>
      <w:r w:rsidRPr="00EC7304">
        <w:rPr>
          <w:sz w:val="28"/>
          <w:szCs w:val="28"/>
        </w:rPr>
        <w:t xml:space="preserve">розглянув на пленарному засіданні справу за конституційними скаргами Соломахи Людмили Іванівни та Бурбака Валерія Миколайовича щодо відповідності Конституції України (конституційності) </w:t>
      </w:r>
      <w:r w:rsidR="00441763" w:rsidRPr="00EC7304">
        <w:rPr>
          <w:sz w:val="28"/>
          <w:szCs w:val="28"/>
        </w:rPr>
        <w:t>приписів</w:t>
      </w:r>
      <w:r w:rsidRPr="00EC7304">
        <w:rPr>
          <w:sz w:val="28"/>
          <w:szCs w:val="28"/>
        </w:rPr>
        <w:t xml:space="preserve"> частини третьої статті 142 Закону України „Про судоустрій і статус суддів“ від </w:t>
      </w:r>
      <w:r w:rsidR="00EC7304">
        <w:rPr>
          <w:sz w:val="28"/>
          <w:szCs w:val="28"/>
        </w:rPr>
        <w:t>2 червня</w:t>
      </w:r>
      <w:r w:rsidR="00EC7304">
        <w:rPr>
          <w:sz w:val="28"/>
          <w:szCs w:val="28"/>
        </w:rPr>
        <w:br/>
      </w:r>
      <w:r w:rsidRPr="00EC7304">
        <w:rPr>
          <w:sz w:val="28"/>
          <w:szCs w:val="28"/>
        </w:rPr>
        <w:t xml:space="preserve">2016 року </w:t>
      </w:r>
      <w:r w:rsidR="000236F7">
        <w:rPr>
          <w:sz w:val="28"/>
          <w:szCs w:val="28"/>
        </w:rPr>
        <w:t xml:space="preserve">№ </w:t>
      </w:r>
      <w:r w:rsidRPr="00EC7304">
        <w:rPr>
          <w:sz w:val="28"/>
          <w:szCs w:val="28"/>
        </w:rPr>
        <w:t>1402–VIII (Відомості Верховн</w:t>
      </w:r>
      <w:r w:rsidR="00EC7304">
        <w:rPr>
          <w:sz w:val="28"/>
          <w:szCs w:val="28"/>
        </w:rPr>
        <w:t xml:space="preserve">ої Ради України, 2016 р., </w:t>
      </w:r>
      <w:r w:rsidR="000236F7">
        <w:rPr>
          <w:sz w:val="28"/>
          <w:szCs w:val="28"/>
        </w:rPr>
        <w:t xml:space="preserve">№ </w:t>
      </w:r>
      <w:r w:rsidR="00EC7304">
        <w:rPr>
          <w:sz w:val="28"/>
          <w:szCs w:val="28"/>
        </w:rPr>
        <w:t>31,</w:t>
      </w:r>
      <w:r w:rsidR="00EC7304">
        <w:rPr>
          <w:sz w:val="28"/>
          <w:szCs w:val="28"/>
        </w:rPr>
        <w:br/>
      </w:r>
      <w:r w:rsidRPr="00EC7304">
        <w:rPr>
          <w:sz w:val="28"/>
          <w:szCs w:val="28"/>
        </w:rPr>
        <w:t>ст. 545) зі змінами.</w:t>
      </w:r>
    </w:p>
    <w:p w:rsidR="00AB0AFD" w:rsidRPr="00EC7304" w:rsidRDefault="00AB0AFD" w:rsidP="00EC7304">
      <w:pPr>
        <w:pStyle w:val="af0"/>
        <w:ind w:firstLine="567"/>
        <w:jc w:val="both"/>
        <w:rPr>
          <w:sz w:val="28"/>
          <w:szCs w:val="28"/>
        </w:rPr>
      </w:pPr>
    </w:p>
    <w:p w:rsidR="00765A70" w:rsidRPr="00EC7304" w:rsidRDefault="00765A70" w:rsidP="00EC7304">
      <w:pPr>
        <w:pStyle w:val="af0"/>
        <w:spacing w:line="336" w:lineRule="auto"/>
        <w:ind w:firstLine="567"/>
        <w:jc w:val="both"/>
        <w:rPr>
          <w:sz w:val="28"/>
          <w:szCs w:val="28"/>
        </w:rPr>
      </w:pPr>
      <w:r w:rsidRPr="00EC7304">
        <w:rPr>
          <w:sz w:val="28"/>
          <w:szCs w:val="28"/>
        </w:rPr>
        <w:t>Заслухавши судд</w:t>
      </w:r>
      <w:r w:rsidR="00321501" w:rsidRPr="00EC7304">
        <w:rPr>
          <w:sz w:val="28"/>
          <w:szCs w:val="28"/>
        </w:rPr>
        <w:t>ів</w:t>
      </w:r>
      <w:r w:rsidRPr="00EC7304">
        <w:rPr>
          <w:sz w:val="28"/>
          <w:szCs w:val="28"/>
        </w:rPr>
        <w:t>-доповідач</w:t>
      </w:r>
      <w:r w:rsidR="00321501" w:rsidRPr="00EC7304">
        <w:rPr>
          <w:sz w:val="28"/>
          <w:szCs w:val="28"/>
        </w:rPr>
        <w:t>ів</w:t>
      </w:r>
      <w:r w:rsidRPr="00EC7304">
        <w:rPr>
          <w:sz w:val="28"/>
          <w:szCs w:val="28"/>
        </w:rPr>
        <w:t xml:space="preserve"> </w:t>
      </w:r>
      <w:r w:rsidR="00321501" w:rsidRPr="00EC7304">
        <w:rPr>
          <w:sz w:val="28"/>
          <w:szCs w:val="28"/>
        </w:rPr>
        <w:t xml:space="preserve">Мойсика В.Р., </w:t>
      </w:r>
      <w:r w:rsidRPr="00EC7304">
        <w:rPr>
          <w:sz w:val="28"/>
          <w:szCs w:val="28"/>
        </w:rPr>
        <w:t>Юровську Г.В. та дослідивши матеріали справи, Другий сенат Конституційного Суду України</w:t>
      </w:r>
    </w:p>
    <w:p w:rsidR="00EC7304" w:rsidRPr="00EC7304" w:rsidRDefault="00EC7304" w:rsidP="00EC7304">
      <w:pPr>
        <w:pStyle w:val="af0"/>
        <w:ind w:firstLine="567"/>
        <w:jc w:val="both"/>
        <w:rPr>
          <w:sz w:val="28"/>
          <w:szCs w:val="28"/>
        </w:rPr>
      </w:pPr>
    </w:p>
    <w:p w:rsidR="00765A70" w:rsidRPr="00EC7304" w:rsidRDefault="00765A70" w:rsidP="00EC7304">
      <w:pPr>
        <w:pStyle w:val="af0"/>
        <w:jc w:val="center"/>
        <w:rPr>
          <w:b/>
          <w:bCs/>
          <w:sz w:val="28"/>
          <w:szCs w:val="28"/>
        </w:rPr>
      </w:pPr>
      <w:r w:rsidRPr="00EC7304">
        <w:rPr>
          <w:b/>
          <w:bCs/>
          <w:sz w:val="28"/>
          <w:szCs w:val="28"/>
        </w:rPr>
        <w:t>у с т а н о в и в:</w:t>
      </w:r>
    </w:p>
    <w:p w:rsidR="00321501" w:rsidRPr="00EC7304" w:rsidRDefault="00321501" w:rsidP="00EC7304">
      <w:pPr>
        <w:pStyle w:val="af0"/>
        <w:ind w:firstLine="567"/>
        <w:rPr>
          <w:bCs/>
          <w:sz w:val="28"/>
          <w:szCs w:val="28"/>
        </w:rPr>
      </w:pPr>
    </w:p>
    <w:p w:rsidR="00AB0AFD" w:rsidRPr="00EC7304" w:rsidRDefault="00AB0AFD" w:rsidP="00EC7304">
      <w:pPr>
        <w:pStyle w:val="af0"/>
        <w:spacing w:line="336" w:lineRule="auto"/>
        <w:ind w:firstLine="567"/>
        <w:jc w:val="both"/>
        <w:rPr>
          <w:sz w:val="28"/>
          <w:szCs w:val="28"/>
        </w:rPr>
      </w:pPr>
      <w:r w:rsidRPr="00EC7304">
        <w:rPr>
          <w:sz w:val="28"/>
          <w:szCs w:val="28"/>
        </w:rPr>
        <w:t xml:space="preserve">1. </w:t>
      </w:r>
      <w:r w:rsidR="00321501" w:rsidRPr="00EC7304">
        <w:rPr>
          <w:sz w:val="28"/>
          <w:szCs w:val="28"/>
        </w:rPr>
        <w:t>До Конституційного Суду України</w:t>
      </w:r>
      <w:r w:rsidR="00B17187" w:rsidRPr="00EC7304">
        <w:rPr>
          <w:sz w:val="28"/>
          <w:szCs w:val="28"/>
        </w:rPr>
        <w:t xml:space="preserve"> </w:t>
      </w:r>
      <w:r w:rsidRPr="00EC7304">
        <w:rPr>
          <w:sz w:val="28"/>
          <w:szCs w:val="28"/>
        </w:rPr>
        <w:t>зверну</w:t>
      </w:r>
      <w:r w:rsidR="00321501" w:rsidRPr="00EC7304">
        <w:rPr>
          <w:sz w:val="28"/>
          <w:szCs w:val="28"/>
        </w:rPr>
        <w:t>ли</w:t>
      </w:r>
      <w:r w:rsidRPr="00EC7304">
        <w:rPr>
          <w:sz w:val="28"/>
          <w:szCs w:val="28"/>
        </w:rPr>
        <w:t>ся</w:t>
      </w:r>
      <w:r w:rsidR="00EC7304">
        <w:rPr>
          <w:sz w:val="28"/>
          <w:szCs w:val="28"/>
        </w:rPr>
        <w:t xml:space="preserve"> Соломаха Л.І. та</w:t>
      </w:r>
      <w:r w:rsidR="00EC7304">
        <w:rPr>
          <w:sz w:val="28"/>
          <w:szCs w:val="28"/>
        </w:rPr>
        <w:br/>
      </w:r>
      <w:r w:rsidR="00321501" w:rsidRPr="00EC7304">
        <w:rPr>
          <w:sz w:val="28"/>
          <w:szCs w:val="28"/>
        </w:rPr>
        <w:t>Бурбак В.М.</w:t>
      </w:r>
      <w:r w:rsidRPr="00EC7304">
        <w:rPr>
          <w:sz w:val="28"/>
          <w:szCs w:val="28"/>
        </w:rPr>
        <w:t xml:space="preserve"> </w:t>
      </w:r>
      <w:r w:rsidR="00ED3AD4" w:rsidRPr="00EC7304">
        <w:rPr>
          <w:sz w:val="28"/>
          <w:szCs w:val="28"/>
        </w:rPr>
        <w:t>і</w:t>
      </w:r>
      <w:r w:rsidRPr="00EC7304">
        <w:rPr>
          <w:sz w:val="28"/>
          <w:szCs w:val="28"/>
        </w:rPr>
        <w:t>з клопотанням</w:t>
      </w:r>
      <w:r w:rsidR="00321501" w:rsidRPr="00EC7304">
        <w:rPr>
          <w:sz w:val="28"/>
          <w:szCs w:val="28"/>
        </w:rPr>
        <w:t>и</w:t>
      </w:r>
      <w:r w:rsidRPr="00EC7304">
        <w:rPr>
          <w:sz w:val="28"/>
          <w:szCs w:val="28"/>
        </w:rPr>
        <w:t xml:space="preserve"> визнати такими, що не відповідають Конституції </w:t>
      </w:r>
      <w:r w:rsidRPr="00EC7304">
        <w:rPr>
          <w:sz w:val="28"/>
          <w:szCs w:val="28"/>
        </w:rPr>
        <w:lastRenderedPageBreak/>
        <w:t xml:space="preserve">України (є неконституційними), </w:t>
      </w:r>
      <w:r w:rsidR="00441763" w:rsidRPr="00EC7304">
        <w:rPr>
          <w:sz w:val="28"/>
          <w:szCs w:val="28"/>
        </w:rPr>
        <w:t>приписи</w:t>
      </w:r>
      <w:r w:rsidRPr="00EC7304">
        <w:rPr>
          <w:sz w:val="28"/>
          <w:szCs w:val="28"/>
        </w:rPr>
        <w:t xml:space="preserve"> </w:t>
      </w:r>
      <w:r w:rsidR="008C20FC" w:rsidRPr="00EC7304">
        <w:rPr>
          <w:sz w:val="28"/>
          <w:szCs w:val="28"/>
        </w:rPr>
        <w:t xml:space="preserve">частини третьої статті 142 Закону України „Про судоустрій і статус суддів“ від 2 червня 2016 року </w:t>
      </w:r>
      <w:r w:rsidR="000236F7">
        <w:rPr>
          <w:sz w:val="28"/>
          <w:szCs w:val="28"/>
        </w:rPr>
        <w:t xml:space="preserve">№ </w:t>
      </w:r>
      <w:r w:rsidR="008C20FC" w:rsidRPr="00EC7304">
        <w:rPr>
          <w:sz w:val="28"/>
          <w:szCs w:val="28"/>
        </w:rPr>
        <w:t>1402–VIII зі змінами</w:t>
      </w:r>
      <w:r w:rsidRPr="00EC7304">
        <w:rPr>
          <w:bCs/>
          <w:sz w:val="28"/>
          <w:szCs w:val="28"/>
        </w:rPr>
        <w:t xml:space="preserve"> (</w:t>
      </w:r>
      <w:r w:rsidR="008C20FC" w:rsidRPr="00EC7304">
        <w:rPr>
          <w:bCs/>
          <w:sz w:val="28"/>
          <w:szCs w:val="28"/>
        </w:rPr>
        <w:t>далі – Закон</w:t>
      </w:r>
      <w:r w:rsidRPr="00EC7304">
        <w:rPr>
          <w:bCs/>
          <w:sz w:val="28"/>
          <w:szCs w:val="28"/>
        </w:rPr>
        <w:t>).</w:t>
      </w:r>
    </w:p>
    <w:p w:rsidR="008C20FC" w:rsidRPr="00EC7304" w:rsidRDefault="008C20FC" w:rsidP="00EC7304">
      <w:pPr>
        <w:pStyle w:val="af0"/>
        <w:spacing w:line="360" w:lineRule="auto"/>
        <w:ind w:firstLine="567"/>
        <w:jc w:val="both"/>
        <w:rPr>
          <w:sz w:val="28"/>
          <w:szCs w:val="28"/>
        </w:rPr>
      </w:pPr>
      <w:r w:rsidRPr="00EC7304">
        <w:rPr>
          <w:sz w:val="28"/>
          <w:szCs w:val="28"/>
        </w:rPr>
        <w:t>Згідно з частиною третьою статті 142 Закону „щомісячне довічне грошове утримання виплачується судді у відставці в розмірі 50 відсотків суддівської винагороди судді, який працює на відповідній посаді. За кожний повний рік роботи на посаді судді понад 20 років розмір щомісячного довічного грошового утримання збільшується на два відсотки грошового утримання судді“.</w:t>
      </w:r>
    </w:p>
    <w:p w:rsidR="003E1FF3" w:rsidRPr="00EC7304" w:rsidRDefault="003E1FF3" w:rsidP="00EC7304">
      <w:pPr>
        <w:pStyle w:val="af0"/>
        <w:spacing w:line="360" w:lineRule="auto"/>
        <w:ind w:firstLine="567"/>
        <w:jc w:val="both"/>
        <w:rPr>
          <w:sz w:val="28"/>
          <w:szCs w:val="28"/>
        </w:rPr>
      </w:pPr>
      <w:r w:rsidRPr="00EC7304">
        <w:rPr>
          <w:sz w:val="28"/>
          <w:szCs w:val="28"/>
        </w:rPr>
        <w:t xml:space="preserve">Соломаха Л.І. вважає, що оспорювані </w:t>
      </w:r>
      <w:r w:rsidR="00441763" w:rsidRPr="00EC7304">
        <w:rPr>
          <w:sz w:val="28"/>
          <w:szCs w:val="28"/>
        </w:rPr>
        <w:t>приписи</w:t>
      </w:r>
      <w:r w:rsidRPr="00EC7304">
        <w:rPr>
          <w:sz w:val="28"/>
          <w:szCs w:val="28"/>
        </w:rPr>
        <w:t xml:space="preserve"> Закону не відповідають частинам першій, другій статті 8, статті 21, частині третій </w:t>
      </w:r>
      <w:r w:rsidR="00EC7304">
        <w:rPr>
          <w:sz w:val="28"/>
          <w:szCs w:val="28"/>
        </w:rPr>
        <w:t>статті 22,</w:t>
      </w:r>
      <w:r w:rsidR="00EC7304">
        <w:rPr>
          <w:sz w:val="28"/>
          <w:szCs w:val="28"/>
        </w:rPr>
        <w:br/>
      </w:r>
      <w:r w:rsidRPr="00EC7304">
        <w:rPr>
          <w:sz w:val="28"/>
          <w:szCs w:val="28"/>
        </w:rPr>
        <w:t>частинам першій, другій статті 24, частині першій статті 126, статті 151</w:t>
      </w:r>
      <w:r w:rsidRPr="00EC7304">
        <w:rPr>
          <w:sz w:val="28"/>
          <w:szCs w:val="28"/>
          <w:vertAlign w:val="superscript"/>
        </w:rPr>
        <w:t>2</w:t>
      </w:r>
      <w:r w:rsidR="00EC7304">
        <w:rPr>
          <w:sz w:val="28"/>
          <w:szCs w:val="28"/>
        </w:rPr>
        <w:t>,</w:t>
      </w:r>
      <w:r w:rsidR="00EC7304">
        <w:rPr>
          <w:sz w:val="28"/>
          <w:szCs w:val="28"/>
        </w:rPr>
        <w:br/>
      </w:r>
      <w:r w:rsidRPr="00EC7304">
        <w:rPr>
          <w:sz w:val="28"/>
          <w:szCs w:val="28"/>
        </w:rPr>
        <w:t>частині другій статті 152 Конституції України.</w:t>
      </w:r>
    </w:p>
    <w:p w:rsidR="003E1FF3" w:rsidRPr="00EC7304" w:rsidRDefault="00ED3AD4" w:rsidP="00EC7304">
      <w:pPr>
        <w:pStyle w:val="af0"/>
        <w:spacing w:line="360" w:lineRule="auto"/>
        <w:ind w:firstLine="567"/>
        <w:jc w:val="both"/>
        <w:rPr>
          <w:sz w:val="28"/>
          <w:szCs w:val="28"/>
        </w:rPr>
      </w:pPr>
      <w:r w:rsidRPr="00EC7304">
        <w:rPr>
          <w:sz w:val="28"/>
          <w:szCs w:val="28"/>
        </w:rPr>
        <w:t xml:space="preserve">На думку </w:t>
      </w:r>
      <w:r w:rsidR="00B25744" w:rsidRPr="00EC7304">
        <w:rPr>
          <w:sz w:val="28"/>
          <w:szCs w:val="28"/>
        </w:rPr>
        <w:t>Бу</w:t>
      </w:r>
      <w:r w:rsidR="003E1FF3" w:rsidRPr="00EC7304">
        <w:rPr>
          <w:sz w:val="28"/>
          <w:szCs w:val="28"/>
        </w:rPr>
        <w:t>рбак</w:t>
      </w:r>
      <w:r w:rsidRPr="00EC7304">
        <w:rPr>
          <w:sz w:val="28"/>
          <w:szCs w:val="28"/>
        </w:rPr>
        <w:t xml:space="preserve">а В.М., </w:t>
      </w:r>
      <w:r w:rsidR="003E1FF3" w:rsidRPr="00EC7304">
        <w:rPr>
          <w:sz w:val="28"/>
          <w:szCs w:val="28"/>
        </w:rPr>
        <w:t xml:space="preserve">оспорювані </w:t>
      </w:r>
      <w:r w:rsidR="00441763" w:rsidRPr="00EC7304">
        <w:rPr>
          <w:sz w:val="28"/>
          <w:szCs w:val="28"/>
        </w:rPr>
        <w:t>приписи</w:t>
      </w:r>
      <w:r w:rsidR="003E1FF3" w:rsidRPr="00EC7304">
        <w:rPr>
          <w:sz w:val="28"/>
          <w:szCs w:val="28"/>
        </w:rPr>
        <w:t xml:space="preserve"> Закону не відповідають</w:t>
      </w:r>
      <w:r w:rsidR="00EC7304">
        <w:rPr>
          <w:sz w:val="28"/>
          <w:szCs w:val="28"/>
        </w:rPr>
        <w:br/>
      </w:r>
      <w:r w:rsidR="00DF2B8B" w:rsidRPr="00EC7304">
        <w:rPr>
          <w:sz w:val="28"/>
          <w:szCs w:val="28"/>
        </w:rPr>
        <w:t>статті 1, частині другій статті 3, ча</w:t>
      </w:r>
      <w:r w:rsidR="00EC7304">
        <w:rPr>
          <w:sz w:val="28"/>
          <w:szCs w:val="28"/>
        </w:rPr>
        <w:t>стинам першій, другій статті 8,</w:t>
      </w:r>
      <w:r w:rsidR="00EC7304">
        <w:rPr>
          <w:sz w:val="28"/>
          <w:szCs w:val="28"/>
        </w:rPr>
        <w:br/>
      </w:r>
      <w:r w:rsidR="00DF2B8B" w:rsidRPr="00EC7304">
        <w:rPr>
          <w:sz w:val="28"/>
          <w:szCs w:val="28"/>
        </w:rPr>
        <w:t xml:space="preserve">частинам першій, другій статті 22, частинам першій, другій </w:t>
      </w:r>
      <w:r w:rsidR="00EC7304">
        <w:rPr>
          <w:sz w:val="28"/>
          <w:szCs w:val="28"/>
        </w:rPr>
        <w:t>статті 24,</w:t>
      </w:r>
      <w:r w:rsidR="00EC7304">
        <w:rPr>
          <w:sz w:val="28"/>
          <w:szCs w:val="28"/>
        </w:rPr>
        <w:br/>
      </w:r>
      <w:r w:rsidR="00DF2B8B" w:rsidRPr="00EC7304">
        <w:rPr>
          <w:sz w:val="28"/>
          <w:szCs w:val="28"/>
        </w:rPr>
        <w:t xml:space="preserve">частині першій статті 126, </w:t>
      </w:r>
      <w:r w:rsidRPr="00EC7304">
        <w:rPr>
          <w:sz w:val="28"/>
          <w:szCs w:val="28"/>
        </w:rPr>
        <w:t>статті 151</w:t>
      </w:r>
      <w:r w:rsidRPr="00EC7304">
        <w:rPr>
          <w:sz w:val="28"/>
          <w:szCs w:val="28"/>
          <w:vertAlign w:val="superscript"/>
        </w:rPr>
        <w:t>2</w:t>
      </w:r>
      <w:r w:rsidRPr="00EC7304">
        <w:rPr>
          <w:sz w:val="28"/>
          <w:szCs w:val="28"/>
        </w:rPr>
        <w:t xml:space="preserve">, </w:t>
      </w:r>
      <w:r w:rsidR="00DF2B8B" w:rsidRPr="00EC7304">
        <w:rPr>
          <w:sz w:val="28"/>
          <w:szCs w:val="28"/>
        </w:rPr>
        <w:t>частині другій статті 152 Основного Закону України.</w:t>
      </w:r>
    </w:p>
    <w:p w:rsidR="003E1FF3" w:rsidRPr="00EC7304" w:rsidRDefault="00DF2B8B" w:rsidP="00EC7304">
      <w:pPr>
        <w:pStyle w:val="af0"/>
        <w:spacing w:line="360" w:lineRule="auto"/>
        <w:ind w:firstLine="567"/>
        <w:jc w:val="both"/>
        <w:rPr>
          <w:sz w:val="28"/>
          <w:szCs w:val="28"/>
        </w:rPr>
      </w:pPr>
      <w:r w:rsidRPr="00EC7304">
        <w:rPr>
          <w:sz w:val="28"/>
          <w:szCs w:val="28"/>
        </w:rPr>
        <w:t>Автори клопотань</w:t>
      </w:r>
      <w:r w:rsidR="008C20FC" w:rsidRPr="00EC7304">
        <w:rPr>
          <w:sz w:val="28"/>
          <w:szCs w:val="28"/>
        </w:rPr>
        <w:t xml:space="preserve"> </w:t>
      </w:r>
      <w:r w:rsidR="00ED3AD4" w:rsidRPr="00EC7304">
        <w:rPr>
          <w:sz w:val="28"/>
          <w:szCs w:val="28"/>
        </w:rPr>
        <w:t>стверджують</w:t>
      </w:r>
      <w:r w:rsidR="008C20FC" w:rsidRPr="00EC7304">
        <w:rPr>
          <w:sz w:val="28"/>
          <w:szCs w:val="28"/>
        </w:rPr>
        <w:t xml:space="preserve">, що </w:t>
      </w:r>
      <w:r w:rsidR="003E1FF3" w:rsidRPr="00EC7304">
        <w:rPr>
          <w:sz w:val="28"/>
          <w:szCs w:val="28"/>
        </w:rPr>
        <w:t>внаслідок застосування судами о</w:t>
      </w:r>
      <w:r w:rsidR="008C20FC" w:rsidRPr="00EC7304">
        <w:rPr>
          <w:sz w:val="28"/>
          <w:szCs w:val="28"/>
        </w:rPr>
        <w:t>спорюван</w:t>
      </w:r>
      <w:r w:rsidR="003E1FF3" w:rsidRPr="00EC7304">
        <w:rPr>
          <w:sz w:val="28"/>
          <w:szCs w:val="28"/>
        </w:rPr>
        <w:t>их</w:t>
      </w:r>
      <w:r w:rsidR="008C20FC" w:rsidRPr="00EC7304">
        <w:rPr>
          <w:sz w:val="28"/>
          <w:szCs w:val="28"/>
        </w:rPr>
        <w:t xml:space="preserve"> </w:t>
      </w:r>
      <w:r w:rsidR="00441763" w:rsidRPr="00EC7304">
        <w:rPr>
          <w:sz w:val="28"/>
          <w:szCs w:val="28"/>
        </w:rPr>
        <w:t>приписів</w:t>
      </w:r>
      <w:r w:rsidR="003E1FF3" w:rsidRPr="00EC7304">
        <w:rPr>
          <w:sz w:val="28"/>
          <w:szCs w:val="28"/>
        </w:rPr>
        <w:t xml:space="preserve"> Закону зменшено базовий відсоток розміру виплати щомісячного довічного грошового утриманн</w:t>
      </w:r>
      <w:r w:rsidR="00ED3AD4" w:rsidRPr="00EC7304">
        <w:rPr>
          <w:sz w:val="28"/>
          <w:szCs w:val="28"/>
        </w:rPr>
        <w:t xml:space="preserve">я, чим порушено їхнє </w:t>
      </w:r>
      <w:r w:rsidR="003E1FF3" w:rsidRPr="00EC7304">
        <w:rPr>
          <w:sz w:val="28"/>
          <w:szCs w:val="28"/>
        </w:rPr>
        <w:t>право на належне матеріальне та соціальне забезпечення, як</w:t>
      </w:r>
      <w:r w:rsidR="00ED3AD4" w:rsidRPr="00EC7304">
        <w:rPr>
          <w:sz w:val="28"/>
          <w:szCs w:val="28"/>
        </w:rPr>
        <w:t>е</w:t>
      </w:r>
      <w:r w:rsidR="003E1FF3" w:rsidRPr="00EC7304">
        <w:rPr>
          <w:sz w:val="28"/>
          <w:szCs w:val="28"/>
        </w:rPr>
        <w:t xml:space="preserve"> є конституційною гарантією незалежності суддів </w:t>
      </w:r>
      <w:r w:rsidR="00ED3AD4" w:rsidRPr="00EC7304">
        <w:rPr>
          <w:sz w:val="28"/>
          <w:szCs w:val="28"/>
        </w:rPr>
        <w:t>згідно з</w:t>
      </w:r>
      <w:r w:rsidR="003E1FF3" w:rsidRPr="00EC7304">
        <w:rPr>
          <w:sz w:val="28"/>
          <w:szCs w:val="28"/>
        </w:rPr>
        <w:t xml:space="preserve"> частиною першою статті 126 Конституції України, а також право володіти, користуватися і розпоряджатися своєю власністю, гарантоване частинами першою, четвертою статті 41 Основного Закону України.</w:t>
      </w:r>
    </w:p>
    <w:p w:rsidR="00866B21" w:rsidRDefault="00866B21" w:rsidP="00866B21">
      <w:pPr>
        <w:pStyle w:val="af0"/>
        <w:ind w:firstLine="567"/>
        <w:jc w:val="both"/>
        <w:rPr>
          <w:sz w:val="28"/>
          <w:szCs w:val="28"/>
        </w:rPr>
      </w:pPr>
    </w:p>
    <w:p w:rsidR="0082610A" w:rsidRPr="00EC7304" w:rsidRDefault="00441763" w:rsidP="00EC7304">
      <w:pPr>
        <w:pStyle w:val="af0"/>
        <w:spacing w:line="360" w:lineRule="auto"/>
        <w:ind w:firstLine="567"/>
        <w:jc w:val="both"/>
        <w:rPr>
          <w:sz w:val="28"/>
          <w:szCs w:val="28"/>
        </w:rPr>
      </w:pPr>
      <w:r w:rsidRPr="00EC7304">
        <w:rPr>
          <w:sz w:val="28"/>
          <w:szCs w:val="28"/>
        </w:rPr>
        <w:t>2</w:t>
      </w:r>
      <w:r w:rsidR="0082610A" w:rsidRPr="00EC7304">
        <w:rPr>
          <w:sz w:val="28"/>
          <w:szCs w:val="28"/>
        </w:rPr>
        <w:t xml:space="preserve">. </w:t>
      </w:r>
      <w:r w:rsidR="00DF2B8B" w:rsidRPr="00EC7304">
        <w:rPr>
          <w:sz w:val="28"/>
          <w:szCs w:val="28"/>
        </w:rPr>
        <w:t xml:space="preserve">Під час розгляду справи </w:t>
      </w:r>
      <w:r w:rsidR="0082610A" w:rsidRPr="00EC7304">
        <w:rPr>
          <w:sz w:val="28"/>
          <w:szCs w:val="28"/>
        </w:rPr>
        <w:t xml:space="preserve">Другий сенат Конституційного Суду України </w:t>
      </w:r>
      <w:r w:rsidR="00DF2B8B" w:rsidRPr="00EC7304">
        <w:rPr>
          <w:sz w:val="28"/>
          <w:szCs w:val="28"/>
        </w:rPr>
        <w:t>дійшов висновку</w:t>
      </w:r>
      <w:r w:rsidR="0082610A" w:rsidRPr="00EC7304">
        <w:rPr>
          <w:sz w:val="28"/>
          <w:szCs w:val="28"/>
        </w:rPr>
        <w:t>, що конституційне провадження у справі підлягає закриттю з огляду на таке.</w:t>
      </w:r>
    </w:p>
    <w:p w:rsidR="00EC7304" w:rsidRDefault="00EC7304" w:rsidP="00866B21">
      <w:pPr>
        <w:pStyle w:val="af0"/>
        <w:ind w:firstLine="567"/>
        <w:jc w:val="both"/>
        <w:rPr>
          <w:sz w:val="28"/>
          <w:szCs w:val="28"/>
        </w:rPr>
      </w:pPr>
    </w:p>
    <w:p w:rsidR="00441763" w:rsidRPr="00EC7304" w:rsidRDefault="00441763" w:rsidP="00EC7304">
      <w:pPr>
        <w:pStyle w:val="af0"/>
        <w:spacing w:line="360" w:lineRule="auto"/>
        <w:ind w:firstLine="567"/>
        <w:jc w:val="both"/>
        <w:rPr>
          <w:sz w:val="28"/>
          <w:szCs w:val="28"/>
        </w:rPr>
      </w:pPr>
      <w:r w:rsidRPr="00EC7304">
        <w:rPr>
          <w:sz w:val="28"/>
          <w:szCs w:val="28"/>
        </w:rPr>
        <w:t>2.1. Право судді на відставку є конституційною гарантією незалежності суддів (пункт 4 частини шостої статті 126 Конституції України).</w:t>
      </w:r>
    </w:p>
    <w:p w:rsidR="00441763" w:rsidRPr="00EC7304" w:rsidRDefault="00CE6BE0" w:rsidP="00EC7304">
      <w:pPr>
        <w:pStyle w:val="af0"/>
        <w:spacing w:line="360" w:lineRule="auto"/>
        <w:ind w:firstLine="567"/>
        <w:jc w:val="both"/>
        <w:rPr>
          <w:sz w:val="28"/>
          <w:szCs w:val="28"/>
        </w:rPr>
      </w:pPr>
      <w:r w:rsidRPr="00EC7304">
        <w:rPr>
          <w:sz w:val="28"/>
          <w:szCs w:val="28"/>
        </w:rPr>
        <w:lastRenderedPageBreak/>
        <w:t xml:space="preserve">Конституційний Суд України неодноразово розглядав </w:t>
      </w:r>
      <w:r>
        <w:rPr>
          <w:sz w:val="28"/>
          <w:szCs w:val="28"/>
        </w:rPr>
        <w:t>п</w:t>
      </w:r>
      <w:r w:rsidR="00441763" w:rsidRPr="00EC7304">
        <w:rPr>
          <w:sz w:val="28"/>
          <w:szCs w:val="28"/>
        </w:rPr>
        <w:t>итання гарантій незалежності суддів і сформулював низку юридичних позицій.</w:t>
      </w:r>
    </w:p>
    <w:p w:rsidR="00441763" w:rsidRPr="00EC7304" w:rsidRDefault="00441763" w:rsidP="00EC7304">
      <w:pPr>
        <w:pStyle w:val="af0"/>
        <w:spacing w:line="360" w:lineRule="auto"/>
        <w:ind w:firstLine="567"/>
        <w:jc w:val="both"/>
        <w:rPr>
          <w:sz w:val="28"/>
          <w:szCs w:val="28"/>
        </w:rPr>
      </w:pPr>
      <w:r w:rsidRPr="00EC7304">
        <w:rPr>
          <w:sz w:val="28"/>
          <w:szCs w:val="28"/>
        </w:rPr>
        <w:t xml:space="preserve">У Рішенні від 19 листопада 2013 року </w:t>
      </w:r>
      <w:r w:rsidR="000236F7">
        <w:rPr>
          <w:sz w:val="28"/>
          <w:szCs w:val="28"/>
        </w:rPr>
        <w:t xml:space="preserve">№ </w:t>
      </w:r>
      <w:r w:rsidRPr="00EC7304">
        <w:rPr>
          <w:sz w:val="28"/>
          <w:szCs w:val="28"/>
        </w:rPr>
        <w:t>10-рп/2013 Конституційний Суд України зазначив, що „відставка судді є особливою формою звільнення його з посади за власним бажанням та обумовлена наявністю в особи відповідного стажу роботи на посаді судді. Наслідком відставки є, зокрема, припинення суддею своїх повноважень з одночасним збереженням за ним звання судді і гарантій недоторканності, а також набуттям прав на виплату вихідної допомоги та отримання пенсії або щомісячного довічного грошового утримання“</w:t>
      </w:r>
      <w:r w:rsidR="00EC7304">
        <w:rPr>
          <w:sz w:val="28"/>
          <w:szCs w:val="28"/>
        </w:rPr>
        <w:br/>
      </w:r>
      <w:r w:rsidR="00BA191A" w:rsidRPr="00EC7304">
        <w:rPr>
          <w:sz w:val="28"/>
          <w:szCs w:val="28"/>
        </w:rPr>
        <w:t>(абзац четвертий підпункту 3.1</w:t>
      </w:r>
      <w:r w:rsidRPr="00EC7304">
        <w:rPr>
          <w:sz w:val="28"/>
          <w:szCs w:val="28"/>
        </w:rPr>
        <w:t xml:space="preserve"> пункту 3 мотивувальної частини).</w:t>
      </w:r>
    </w:p>
    <w:p w:rsidR="00441763" w:rsidRPr="00EC7304" w:rsidRDefault="00441763" w:rsidP="00EC7304">
      <w:pPr>
        <w:pStyle w:val="af0"/>
        <w:spacing w:line="360" w:lineRule="auto"/>
        <w:ind w:firstLine="567"/>
        <w:jc w:val="both"/>
        <w:rPr>
          <w:sz w:val="28"/>
          <w:szCs w:val="28"/>
        </w:rPr>
      </w:pPr>
      <w:r w:rsidRPr="00EC7304">
        <w:rPr>
          <w:sz w:val="28"/>
          <w:szCs w:val="28"/>
        </w:rPr>
        <w:t xml:space="preserve">„Визначені </w:t>
      </w:r>
      <w:hyperlink r:id="rId8" w:tgtFrame="_blank" w:history="1">
        <w:r w:rsidRPr="00EC7304">
          <w:rPr>
            <w:rStyle w:val="af1"/>
            <w:color w:val="auto"/>
            <w:sz w:val="28"/>
            <w:szCs w:val="28"/>
            <w:u w:val="none"/>
          </w:rPr>
          <w:t>Конституцією</w:t>
        </w:r>
      </w:hyperlink>
      <w:r w:rsidRPr="00EC7304">
        <w:rPr>
          <w:sz w:val="28"/>
          <w:szCs w:val="28"/>
        </w:rPr>
        <w:t xml:space="preserve"> та законами України гарантії незалежності суддів є невід’ємним елементом їх статусу, поширюються на всіх суддів України та є необхідною умовою здійснення правосуддя неупередженим, безстороннім і справедливим судом. Такими гарантіями є надання їм за рахунок держави матеріального забезпечення (суддівська винагорода, пенсія, щомісячне довічне грошове утримання тощо) та надання їм у майбутньому статусу судді у відставці. Право судді у відставці на пенсійне або щомісячне довічне грошове утримання є гарантією належного здійснення правосуддя і незалежності працюючих суддів та дає підстави висувати до суддів високі вимоги, зберігати довіру до їх компетентності і неупередженості. Щомісячне довічне грошове утримання судді спрямоване на забезпечення гідного його статусу життєвого рівня, оскільки суддя обмежений у праві заробляти додаткові матеріальні блага, зокрема обіймати будь-які інші оплачувані посади, виконувати іншу оплачувану роботу. Конституційний принцип незалежності суддів означає, в тому числі, конституційно обумовлений імператив охорони матеріального забезпечення суддів від його скасування чи зниження досягнутого рівня без відповідної компенсації як гарантію недопущення впливу або втручання у здійснення правосуддя. Таким чином, конституційний статус судді передбачає достатнє матеріальне забезпечення судді як під час здійснення ним своїх повноважень </w:t>
      </w:r>
      <w:r w:rsidRPr="00EC7304">
        <w:rPr>
          <w:sz w:val="28"/>
          <w:szCs w:val="28"/>
        </w:rPr>
        <w:lastRenderedPageBreak/>
        <w:t xml:space="preserve">(суддівська винагорода), так і в майбутньому у зв’язку з досягненням пенсійного віку (пенсія) чи внаслідок припинення повноважень і набуття статусу судді у відставці (щомісячне довічне грошове утримання). Статус судді та його елементи, зокрема матеріальне забезпечення судді після припинення його повноважень, є не особистим привілеєм, а засобом забезпечення незалежності працюючих суддів і надається для гарантування верховенства права та в інтересах осіб, які звертаються до суду та очікують неупередженого правосуддя“ (абзаци </w:t>
      </w:r>
      <w:hyperlink r:id="rId9" w:anchor="n21" w:tgtFrame="_blank" w:history="1">
        <w:r w:rsidRPr="00EC7304">
          <w:rPr>
            <w:rStyle w:val="af1"/>
            <w:color w:val="auto"/>
            <w:sz w:val="28"/>
            <w:szCs w:val="28"/>
            <w:u w:val="none"/>
          </w:rPr>
          <w:t>п’ятий</w:t>
        </w:r>
      </w:hyperlink>
      <w:r w:rsidRPr="00EC7304">
        <w:rPr>
          <w:sz w:val="28"/>
          <w:szCs w:val="28"/>
        </w:rPr>
        <w:t xml:space="preserve">, </w:t>
      </w:r>
      <w:hyperlink r:id="rId10" w:anchor="n22" w:tgtFrame="_blank" w:history="1">
        <w:r w:rsidRPr="00EC7304">
          <w:rPr>
            <w:rStyle w:val="af1"/>
            <w:color w:val="auto"/>
            <w:sz w:val="28"/>
            <w:szCs w:val="28"/>
            <w:u w:val="none"/>
          </w:rPr>
          <w:t>шостий</w:t>
        </w:r>
      </w:hyperlink>
      <w:r w:rsidRPr="00EC7304">
        <w:rPr>
          <w:sz w:val="28"/>
          <w:szCs w:val="28"/>
        </w:rPr>
        <w:t xml:space="preserve"> підпункту 2.2 пункту 2 мотивувальної частини Рішення Конституційного Суду України від 3 червня 2013 року </w:t>
      </w:r>
      <w:r w:rsidR="000236F7">
        <w:rPr>
          <w:sz w:val="28"/>
          <w:szCs w:val="28"/>
        </w:rPr>
        <w:t xml:space="preserve">№ </w:t>
      </w:r>
      <w:r w:rsidRPr="00EC7304">
        <w:rPr>
          <w:sz w:val="28"/>
          <w:szCs w:val="28"/>
        </w:rPr>
        <w:t>3-рп/2013).</w:t>
      </w:r>
    </w:p>
    <w:p w:rsidR="00441763" w:rsidRDefault="00441763" w:rsidP="00EC7304">
      <w:pPr>
        <w:pStyle w:val="af0"/>
        <w:spacing w:line="360" w:lineRule="auto"/>
        <w:ind w:firstLine="567"/>
        <w:jc w:val="both"/>
        <w:rPr>
          <w:sz w:val="28"/>
          <w:szCs w:val="28"/>
        </w:rPr>
      </w:pPr>
      <w:r w:rsidRPr="00EC7304">
        <w:rPr>
          <w:sz w:val="28"/>
          <w:szCs w:val="28"/>
        </w:rPr>
        <w:t xml:space="preserve">Щомісячне довічне грошове утримання судді у відставці має бути співмірним із суддівською винагородою, яку отримує повноважний суддя; у разі збільшення розміру такої винагороди перерахунок раніше призначеного щомісячного довічного грошового утримання судді у відставці має здійснюватися автоматично; установлення різних підходів до порядку обчислення розміру щомісячного довічного грошового утримання суддів порушує статус суддів та гарантії їх незалежності (абзац шостий пункту 16 Рішення Великої палати Конституційного Суду України від 18 лютого 2020 року </w:t>
      </w:r>
      <w:r w:rsidR="000236F7">
        <w:rPr>
          <w:sz w:val="28"/>
          <w:szCs w:val="28"/>
        </w:rPr>
        <w:t xml:space="preserve">№ </w:t>
      </w:r>
      <w:r w:rsidRPr="00EC7304">
        <w:rPr>
          <w:sz w:val="28"/>
          <w:szCs w:val="28"/>
        </w:rPr>
        <w:t>2-р/2020).</w:t>
      </w:r>
    </w:p>
    <w:p w:rsidR="00EC7304" w:rsidRPr="00EC7304" w:rsidRDefault="00EC7304" w:rsidP="00EC7304">
      <w:pPr>
        <w:pStyle w:val="af0"/>
        <w:spacing w:line="360" w:lineRule="auto"/>
        <w:ind w:firstLine="567"/>
        <w:jc w:val="both"/>
        <w:rPr>
          <w:sz w:val="28"/>
          <w:szCs w:val="28"/>
        </w:rPr>
      </w:pPr>
    </w:p>
    <w:p w:rsidR="00F97B5C" w:rsidRPr="00EC7304" w:rsidRDefault="00441763" w:rsidP="00EC7304">
      <w:pPr>
        <w:pStyle w:val="af0"/>
        <w:spacing w:line="360" w:lineRule="auto"/>
        <w:ind w:firstLine="567"/>
        <w:jc w:val="both"/>
        <w:rPr>
          <w:sz w:val="28"/>
          <w:szCs w:val="28"/>
        </w:rPr>
      </w:pPr>
      <w:r w:rsidRPr="00EC7304">
        <w:rPr>
          <w:sz w:val="28"/>
          <w:szCs w:val="28"/>
        </w:rPr>
        <w:t>2</w:t>
      </w:r>
      <w:r w:rsidR="00EB5FE4" w:rsidRPr="00EC7304">
        <w:rPr>
          <w:sz w:val="28"/>
          <w:szCs w:val="28"/>
        </w:rPr>
        <w:t>.</w:t>
      </w:r>
      <w:r w:rsidR="0062016D" w:rsidRPr="00EC7304">
        <w:rPr>
          <w:sz w:val="28"/>
          <w:szCs w:val="28"/>
        </w:rPr>
        <w:t>2</w:t>
      </w:r>
      <w:r w:rsidR="00392052" w:rsidRPr="00EC7304">
        <w:rPr>
          <w:sz w:val="28"/>
          <w:szCs w:val="28"/>
        </w:rPr>
        <w:t xml:space="preserve">. </w:t>
      </w:r>
      <w:r w:rsidR="00F97B5C" w:rsidRPr="00EC7304">
        <w:rPr>
          <w:sz w:val="28"/>
          <w:szCs w:val="28"/>
        </w:rPr>
        <w:t xml:space="preserve">Відповідно до частини четвертої статті 63 Закону України „Про Конституційний Суд України“ сенат </w:t>
      </w:r>
      <w:r w:rsidR="001F0893" w:rsidRPr="00EC7304">
        <w:rPr>
          <w:sz w:val="28"/>
          <w:szCs w:val="28"/>
        </w:rPr>
        <w:t xml:space="preserve">Конституційного Суду України </w:t>
      </w:r>
      <w:r w:rsidR="00F97B5C" w:rsidRPr="00EC7304">
        <w:rPr>
          <w:sz w:val="28"/>
          <w:szCs w:val="28"/>
        </w:rPr>
        <w:t>закриває конституційне провадження у справі, якщо під час пленарного засідання будуть виявлені підстави для відмови у відкритті конституційного провадження, передбачені статтею 62 цього закону.</w:t>
      </w:r>
    </w:p>
    <w:p w:rsidR="009A1269" w:rsidRPr="00EC7304" w:rsidRDefault="009A1269" w:rsidP="00EC7304">
      <w:pPr>
        <w:pStyle w:val="af0"/>
        <w:spacing w:line="360" w:lineRule="auto"/>
        <w:ind w:firstLine="567"/>
        <w:jc w:val="both"/>
        <w:rPr>
          <w:rFonts w:eastAsia="Calibri"/>
          <w:sz w:val="28"/>
          <w:szCs w:val="28"/>
        </w:rPr>
      </w:pPr>
      <w:r w:rsidRPr="00EC7304">
        <w:rPr>
          <w:rFonts w:eastAsia="Calibri"/>
          <w:sz w:val="28"/>
          <w:szCs w:val="28"/>
        </w:rPr>
        <w:t>Згідно із Законом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w:t>
      </w:r>
      <w:r w:rsidR="00EC7304">
        <w:rPr>
          <w:rFonts w:eastAsia="Calibri"/>
          <w:sz w:val="28"/>
          <w:szCs w:val="28"/>
        </w:rPr>
        <w:t>ну (абзац перший частини першої</w:t>
      </w:r>
      <w:r w:rsidR="00EC7304">
        <w:rPr>
          <w:rFonts w:eastAsia="Calibri"/>
          <w:sz w:val="28"/>
          <w:szCs w:val="28"/>
        </w:rPr>
        <w:br/>
      </w:r>
      <w:r w:rsidRPr="00EC7304">
        <w:rPr>
          <w:rFonts w:eastAsia="Calibri"/>
          <w:sz w:val="28"/>
          <w:szCs w:val="28"/>
        </w:rPr>
        <w:t>статті 77); конституційна скарга має містити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1208F0" w:rsidRPr="00EC7304" w:rsidRDefault="00ED3AD4" w:rsidP="00EC7304">
      <w:pPr>
        <w:pStyle w:val="af0"/>
        <w:spacing w:line="360" w:lineRule="auto"/>
        <w:ind w:firstLine="567"/>
        <w:jc w:val="both"/>
        <w:rPr>
          <w:sz w:val="28"/>
          <w:szCs w:val="28"/>
        </w:rPr>
      </w:pPr>
      <w:r w:rsidRPr="00EC7304">
        <w:rPr>
          <w:sz w:val="28"/>
          <w:szCs w:val="28"/>
        </w:rPr>
        <w:t>З аналізу конституційних скарг у</w:t>
      </w:r>
      <w:r w:rsidR="001208F0" w:rsidRPr="00EC7304">
        <w:rPr>
          <w:sz w:val="28"/>
          <w:szCs w:val="28"/>
        </w:rPr>
        <w:t>бачається</w:t>
      </w:r>
      <w:r w:rsidR="00D30013">
        <w:rPr>
          <w:sz w:val="28"/>
          <w:szCs w:val="28"/>
        </w:rPr>
        <w:t>, що</w:t>
      </w:r>
      <w:r w:rsidR="00441763" w:rsidRPr="00EC7304">
        <w:rPr>
          <w:sz w:val="28"/>
          <w:szCs w:val="28"/>
        </w:rPr>
        <w:t xml:space="preserve"> </w:t>
      </w:r>
      <w:r w:rsidR="00D30013">
        <w:rPr>
          <w:sz w:val="28"/>
          <w:szCs w:val="28"/>
        </w:rPr>
        <w:t>а</w:t>
      </w:r>
      <w:r w:rsidR="001208F0" w:rsidRPr="00EC7304">
        <w:rPr>
          <w:sz w:val="28"/>
          <w:szCs w:val="28"/>
        </w:rPr>
        <w:t>втори клопотань</w:t>
      </w:r>
      <w:r w:rsidR="001208F0" w:rsidRPr="00EC7304">
        <w:rPr>
          <w:rFonts w:eastAsia="Calibri"/>
          <w:sz w:val="28"/>
          <w:szCs w:val="28"/>
        </w:rPr>
        <w:t xml:space="preserve"> не обґрунтували тверджень щодо неконституційності</w:t>
      </w:r>
      <w:r w:rsidR="001208F0" w:rsidRPr="00EC7304">
        <w:rPr>
          <w:sz w:val="28"/>
          <w:szCs w:val="28"/>
        </w:rPr>
        <w:t xml:space="preserve"> </w:t>
      </w:r>
      <w:r w:rsidR="00441763" w:rsidRPr="00EC7304">
        <w:rPr>
          <w:sz w:val="28"/>
          <w:szCs w:val="28"/>
        </w:rPr>
        <w:t>приписів</w:t>
      </w:r>
      <w:r w:rsidR="001208F0" w:rsidRPr="00EC7304">
        <w:rPr>
          <w:sz w:val="28"/>
          <w:szCs w:val="28"/>
        </w:rPr>
        <w:t xml:space="preserve"> частини третьої статті 142 Закону, </w:t>
      </w:r>
      <w:r w:rsidR="001208F0" w:rsidRPr="00EC7304">
        <w:rPr>
          <w:rFonts w:eastAsia="Calibri"/>
          <w:sz w:val="28"/>
          <w:szCs w:val="28"/>
        </w:rPr>
        <w:t>обмежившись</w:t>
      </w:r>
      <w:r w:rsidR="001208F0" w:rsidRPr="00EC7304">
        <w:rPr>
          <w:sz w:val="28"/>
          <w:szCs w:val="28"/>
        </w:rPr>
        <w:t xml:space="preserve"> цитуванням окремих норм Конституції України, законів України, посила</w:t>
      </w:r>
      <w:r w:rsidR="00D30013">
        <w:rPr>
          <w:sz w:val="28"/>
          <w:szCs w:val="28"/>
        </w:rPr>
        <w:t>нням</w:t>
      </w:r>
      <w:r w:rsidR="001208F0" w:rsidRPr="00EC7304">
        <w:rPr>
          <w:sz w:val="28"/>
          <w:szCs w:val="28"/>
        </w:rPr>
        <w:t xml:space="preserve"> на рішення Конституційного Суду України та Європейського суду з прав людини. </w:t>
      </w:r>
      <w:r w:rsidR="00BA191A" w:rsidRPr="00EC7304">
        <w:rPr>
          <w:sz w:val="28"/>
          <w:szCs w:val="28"/>
        </w:rPr>
        <w:t>Однак ц</w:t>
      </w:r>
      <w:r w:rsidR="001208F0" w:rsidRPr="00EC7304">
        <w:rPr>
          <w:sz w:val="28"/>
          <w:szCs w:val="28"/>
        </w:rPr>
        <w:t xml:space="preserve">итування приписів Основного Закону України, юридичних позицій Конституційного Суду України без наведення аргументів </w:t>
      </w:r>
      <w:r w:rsidRPr="00EC7304">
        <w:rPr>
          <w:sz w:val="28"/>
          <w:szCs w:val="28"/>
        </w:rPr>
        <w:t xml:space="preserve">щодо </w:t>
      </w:r>
      <w:r w:rsidR="001208F0" w:rsidRPr="00EC7304">
        <w:rPr>
          <w:sz w:val="28"/>
          <w:szCs w:val="28"/>
        </w:rPr>
        <w:t xml:space="preserve">невідповідності Конституції України оспорюваних </w:t>
      </w:r>
      <w:r w:rsidR="0062016D" w:rsidRPr="00EC7304">
        <w:rPr>
          <w:sz w:val="28"/>
          <w:szCs w:val="28"/>
        </w:rPr>
        <w:t>приписів</w:t>
      </w:r>
      <w:r w:rsidR="001208F0" w:rsidRPr="00EC7304">
        <w:rPr>
          <w:sz w:val="28"/>
          <w:szCs w:val="28"/>
        </w:rPr>
        <w:t xml:space="preserve"> закону України не є обґрунтуванням тверджень щодо їх неконституційності (ухвали Великої палати Конституційного Суду України від 24 травня 2018 року </w:t>
      </w:r>
      <w:r w:rsidR="000236F7">
        <w:rPr>
          <w:sz w:val="28"/>
          <w:szCs w:val="28"/>
        </w:rPr>
        <w:t xml:space="preserve">№ </w:t>
      </w:r>
      <w:r w:rsidR="001208F0" w:rsidRPr="00EC7304">
        <w:rPr>
          <w:sz w:val="28"/>
          <w:szCs w:val="28"/>
        </w:rPr>
        <w:t>23-</w:t>
      </w:r>
      <w:r w:rsidR="00EC7304">
        <w:rPr>
          <w:sz w:val="28"/>
          <w:szCs w:val="28"/>
        </w:rPr>
        <w:t>у/2018, від 31 травня 2018 року</w:t>
      </w:r>
      <w:r w:rsidR="00D30013">
        <w:rPr>
          <w:sz w:val="28"/>
          <w:szCs w:val="28"/>
        </w:rPr>
        <w:t xml:space="preserve"> </w:t>
      </w:r>
      <w:r w:rsidR="000236F7">
        <w:rPr>
          <w:sz w:val="28"/>
          <w:szCs w:val="28"/>
        </w:rPr>
        <w:t xml:space="preserve">№ </w:t>
      </w:r>
      <w:r w:rsidR="001208F0" w:rsidRPr="00EC7304">
        <w:rPr>
          <w:sz w:val="28"/>
          <w:szCs w:val="28"/>
        </w:rPr>
        <w:t xml:space="preserve">27-у/2018, </w:t>
      </w:r>
      <w:r w:rsidR="00D30013">
        <w:rPr>
          <w:sz w:val="28"/>
          <w:szCs w:val="28"/>
        </w:rPr>
        <w:br/>
      </w:r>
      <w:r w:rsidR="001208F0" w:rsidRPr="00EC7304">
        <w:rPr>
          <w:sz w:val="28"/>
          <w:szCs w:val="28"/>
        </w:rPr>
        <w:t xml:space="preserve">від 7 червня 2018 року </w:t>
      </w:r>
      <w:r w:rsidR="000236F7">
        <w:rPr>
          <w:sz w:val="28"/>
          <w:szCs w:val="28"/>
        </w:rPr>
        <w:t xml:space="preserve">№ </w:t>
      </w:r>
      <w:r w:rsidR="001208F0" w:rsidRPr="00EC7304">
        <w:rPr>
          <w:sz w:val="28"/>
          <w:szCs w:val="28"/>
        </w:rPr>
        <w:t>34-у/2018).</w:t>
      </w:r>
    </w:p>
    <w:p w:rsidR="00EB5FE4" w:rsidRPr="00EC7304" w:rsidRDefault="00ED3AD4" w:rsidP="00EC7304">
      <w:pPr>
        <w:pStyle w:val="af0"/>
        <w:spacing w:line="360" w:lineRule="auto"/>
        <w:ind w:firstLine="567"/>
        <w:jc w:val="both"/>
        <w:rPr>
          <w:sz w:val="28"/>
          <w:szCs w:val="28"/>
        </w:rPr>
      </w:pPr>
      <w:r w:rsidRPr="00EC7304">
        <w:rPr>
          <w:sz w:val="28"/>
          <w:szCs w:val="28"/>
        </w:rPr>
        <w:t>Отже</w:t>
      </w:r>
      <w:r w:rsidR="00EB5FE4" w:rsidRPr="00EC7304">
        <w:rPr>
          <w:sz w:val="28"/>
          <w:szCs w:val="28"/>
        </w:rPr>
        <w:t xml:space="preserve">, </w:t>
      </w:r>
      <w:r w:rsidR="00441763" w:rsidRPr="00EC7304">
        <w:rPr>
          <w:sz w:val="28"/>
          <w:szCs w:val="28"/>
        </w:rPr>
        <w:t>суб’єкти права на конституційну скаргу</w:t>
      </w:r>
      <w:r w:rsidR="00EC7304">
        <w:rPr>
          <w:sz w:val="28"/>
          <w:szCs w:val="28"/>
        </w:rPr>
        <w:t xml:space="preserve"> не дотримали вимог</w:t>
      </w:r>
      <w:r w:rsidR="00EC7304">
        <w:rPr>
          <w:sz w:val="28"/>
          <w:szCs w:val="28"/>
        </w:rPr>
        <w:br/>
      </w:r>
      <w:r w:rsidR="00EB5FE4" w:rsidRPr="00EC7304">
        <w:rPr>
          <w:sz w:val="28"/>
          <w:szCs w:val="28"/>
        </w:rPr>
        <w:t xml:space="preserve">пункту 6 частини другої статті 55 Закону України „Про Конституційний Суд України“, що є підставою для закриття конституційного провадження у справі згідно з пунктом 4 статті 62 </w:t>
      </w:r>
      <w:r w:rsidRPr="00EC7304">
        <w:rPr>
          <w:sz w:val="28"/>
          <w:szCs w:val="28"/>
        </w:rPr>
        <w:t>цього з</w:t>
      </w:r>
      <w:r w:rsidR="00EB5FE4" w:rsidRPr="00EC7304">
        <w:rPr>
          <w:sz w:val="28"/>
          <w:szCs w:val="28"/>
        </w:rPr>
        <w:t>акону – неприйнятність конституційної скарги.</w:t>
      </w:r>
    </w:p>
    <w:p w:rsidR="00441763" w:rsidRPr="00EC7304" w:rsidRDefault="00441763" w:rsidP="00EC7304">
      <w:pPr>
        <w:pStyle w:val="af0"/>
        <w:spacing w:line="360" w:lineRule="auto"/>
        <w:ind w:firstLine="567"/>
        <w:jc w:val="both"/>
        <w:rPr>
          <w:sz w:val="28"/>
          <w:szCs w:val="28"/>
        </w:rPr>
      </w:pPr>
    </w:p>
    <w:p w:rsidR="0082610A" w:rsidRPr="00EC7304" w:rsidRDefault="0026731C" w:rsidP="00EC7304">
      <w:pPr>
        <w:pStyle w:val="af0"/>
        <w:spacing w:line="360" w:lineRule="auto"/>
        <w:ind w:firstLine="567"/>
        <w:jc w:val="both"/>
        <w:rPr>
          <w:sz w:val="28"/>
          <w:szCs w:val="28"/>
        </w:rPr>
      </w:pPr>
      <w:r w:rsidRPr="00EC7304">
        <w:rPr>
          <w:sz w:val="28"/>
          <w:szCs w:val="28"/>
        </w:rPr>
        <w:t>У</w:t>
      </w:r>
      <w:r w:rsidR="0082610A" w:rsidRPr="00EC7304">
        <w:rPr>
          <w:sz w:val="28"/>
          <w:szCs w:val="28"/>
        </w:rPr>
        <w:t>раховуючи викладене та керуючись статтями 147, 151</w:t>
      </w:r>
      <w:r w:rsidR="0082610A" w:rsidRPr="00EC7304">
        <w:rPr>
          <w:sz w:val="28"/>
          <w:szCs w:val="28"/>
          <w:vertAlign w:val="superscript"/>
        </w:rPr>
        <w:t>1</w:t>
      </w:r>
      <w:r w:rsidR="0082610A" w:rsidRPr="00EC7304">
        <w:rPr>
          <w:sz w:val="28"/>
          <w:szCs w:val="28"/>
        </w:rPr>
        <w:t>, 153 Конституції України, на підставі статей</w:t>
      </w:r>
      <w:r w:rsidR="0082610A" w:rsidRPr="00EC7304">
        <w:rPr>
          <w:color w:val="FF0000"/>
          <w:sz w:val="28"/>
          <w:szCs w:val="28"/>
        </w:rPr>
        <w:t xml:space="preserve"> </w:t>
      </w:r>
      <w:r w:rsidR="0082610A" w:rsidRPr="00EC7304">
        <w:rPr>
          <w:sz w:val="28"/>
          <w:szCs w:val="28"/>
        </w:rPr>
        <w:t>7, 8, 32, 36, 55, 62, 63,</w:t>
      </w:r>
      <w:r w:rsidR="00302665" w:rsidRPr="00EC7304">
        <w:rPr>
          <w:color w:val="FF0000"/>
          <w:sz w:val="28"/>
          <w:szCs w:val="28"/>
        </w:rPr>
        <w:t xml:space="preserve"> </w:t>
      </w:r>
      <w:r w:rsidR="0082610A" w:rsidRPr="00EC7304">
        <w:rPr>
          <w:sz w:val="28"/>
          <w:szCs w:val="28"/>
        </w:rPr>
        <w:t xml:space="preserve">86 Закону України „Про Конституційний Суд України“, відповідно до </w:t>
      </w:r>
      <w:r w:rsidR="001B1DC6" w:rsidRPr="00EC7304">
        <w:rPr>
          <w:sz w:val="28"/>
          <w:szCs w:val="28"/>
        </w:rPr>
        <w:t>§ 48, § 55 Регламенту Конституційного Суду України Другий сенат Конституційного Суду України</w:t>
      </w:r>
    </w:p>
    <w:p w:rsidR="00405BA1" w:rsidRPr="00EC7304" w:rsidRDefault="00405BA1" w:rsidP="00EC7304">
      <w:pPr>
        <w:pStyle w:val="af0"/>
        <w:spacing w:line="360" w:lineRule="auto"/>
        <w:ind w:firstLine="567"/>
        <w:jc w:val="both"/>
        <w:rPr>
          <w:sz w:val="28"/>
          <w:szCs w:val="28"/>
        </w:rPr>
      </w:pPr>
    </w:p>
    <w:p w:rsidR="001B1DC6" w:rsidRPr="00EC7304" w:rsidRDefault="001B1DC6" w:rsidP="00EC7304">
      <w:pPr>
        <w:pStyle w:val="af0"/>
        <w:spacing w:line="360" w:lineRule="auto"/>
        <w:jc w:val="center"/>
        <w:rPr>
          <w:b/>
          <w:bCs/>
          <w:sz w:val="28"/>
          <w:szCs w:val="28"/>
        </w:rPr>
      </w:pPr>
      <w:r w:rsidRPr="00EC7304">
        <w:rPr>
          <w:b/>
          <w:bCs/>
          <w:sz w:val="28"/>
          <w:szCs w:val="28"/>
        </w:rPr>
        <w:t>у х в а л и в:</w:t>
      </w:r>
    </w:p>
    <w:p w:rsidR="0082610A" w:rsidRPr="00EC7304" w:rsidRDefault="0082610A" w:rsidP="00EC7304">
      <w:pPr>
        <w:pStyle w:val="af0"/>
        <w:spacing w:line="360" w:lineRule="auto"/>
        <w:ind w:firstLine="567"/>
        <w:jc w:val="both"/>
        <w:rPr>
          <w:sz w:val="28"/>
          <w:szCs w:val="28"/>
        </w:rPr>
      </w:pPr>
    </w:p>
    <w:p w:rsidR="00CF2FFB" w:rsidRPr="00EC7304" w:rsidRDefault="00CF2FFB" w:rsidP="00EC7304">
      <w:pPr>
        <w:pStyle w:val="af0"/>
        <w:spacing w:line="360" w:lineRule="auto"/>
        <w:ind w:firstLine="567"/>
        <w:jc w:val="both"/>
        <w:rPr>
          <w:sz w:val="28"/>
          <w:szCs w:val="28"/>
        </w:rPr>
      </w:pPr>
      <w:r w:rsidRPr="00EC7304">
        <w:rPr>
          <w:sz w:val="28"/>
          <w:szCs w:val="28"/>
        </w:rPr>
        <w:t>1. Закрити конституційне провадження у справі за конституційн</w:t>
      </w:r>
      <w:r w:rsidR="001A5B80" w:rsidRPr="00EC7304">
        <w:rPr>
          <w:sz w:val="28"/>
          <w:szCs w:val="28"/>
        </w:rPr>
        <w:t>ими</w:t>
      </w:r>
      <w:r w:rsidRPr="00EC7304">
        <w:rPr>
          <w:sz w:val="28"/>
          <w:szCs w:val="28"/>
        </w:rPr>
        <w:t xml:space="preserve"> скарг</w:t>
      </w:r>
      <w:r w:rsidR="001A5B80" w:rsidRPr="00EC7304">
        <w:rPr>
          <w:sz w:val="28"/>
          <w:szCs w:val="28"/>
        </w:rPr>
        <w:t>ами</w:t>
      </w:r>
      <w:r w:rsidRPr="00EC7304">
        <w:rPr>
          <w:sz w:val="28"/>
          <w:szCs w:val="28"/>
        </w:rPr>
        <w:t xml:space="preserve"> </w:t>
      </w:r>
      <w:r w:rsidR="001A5B80" w:rsidRPr="00EC7304">
        <w:rPr>
          <w:sz w:val="28"/>
          <w:szCs w:val="28"/>
        </w:rPr>
        <w:t xml:space="preserve">Соломахи Людмили Іванівни та Бурбака Валерія Миколайовича щодо відповідності Конституції України (конституційності) </w:t>
      </w:r>
      <w:r w:rsidR="00441763" w:rsidRPr="00EC7304">
        <w:rPr>
          <w:sz w:val="28"/>
          <w:szCs w:val="28"/>
        </w:rPr>
        <w:t>приписів</w:t>
      </w:r>
      <w:r w:rsidR="001A5B80" w:rsidRPr="00EC7304">
        <w:rPr>
          <w:sz w:val="28"/>
          <w:szCs w:val="28"/>
        </w:rPr>
        <w:t xml:space="preserve"> частини третьої статті 142 Закону України „Про судоустрій і статус суддів“ від </w:t>
      </w:r>
      <w:r w:rsidR="00EC7304">
        <w:rPr>
          <w:sz w:val="28"/>
          <w:szCs w:val="28"/>
        </w:rPr>
        <w:t>2 червня</w:t>
      </w:r>
      <w:r w:rsidR="00EC7304">
        <w:rPr>
          <w:sz w:val="28"/>
          <w:szCs w:val="28"/>
        </w:rPr>
        <w:br/>
      </w:r>
      <w:r w:rsidR="001A5B80" w:rsidRPr="00EC7304">
        <w:rPr>
          <w:sz w:val="28"/>
          <w:szCs w:val="28"/>
        </w:rPr>
        <w:t xml:space="preserve">2016 року </w:t>
      </w:r>
      <w:r w:rsidR="000236F7">
        <w:rPr>
          <w:sz w:val="28"/>
          <w:szCs w:val="28"/>
        </w:rPr>
        <w:t xml:space="preserve">№ </w:t>
      </w:r>
      <w:r w:rsidR="001A5B80" w:rsidRPr="00EC7304">
        <w:rPr>
          <w:sz w:val="28"/>
          <w:szCs w:val="28"/>
        </w:rPr>
        <w:t>1402–VIII</w:t>
      </w:r>
      <w:r w:rsidRPr="00EC7304">
        <w:rPr>
          <w:sz w:val="28"/>
          <w:szCs w:val="28"/>
        </w:rPr>
        <w:t xml:space="preserve"> на підставі пункту </w:t>
      </w:r>
      <w:r w:rsidR="001A5B80" w:rsidRPr="00EC7304">
        <w:rPr>
          <w:sz w:val="28"/>
          <w:szCs w:val="28"/>
        </w:rPr>
        <w:t>4</w:t>
      </w:r>
      <w:r w:rsidRPr="00EC7304">
        <w:rPr>
          <w:sz w:val="28"/>
          <w:szCs w:val="28"/>
        </w:rPr>
        <w:t xml:space="preserve"> статті 62 Закону України „Про Конституційний Суд України“ – </w:t>
      </w:r>
      <w:r w:rsidR="001A5B80" w:rsidRPr="00EC7304">
        <w:rPr>
          <w:sz w:val="28"/>
          <w:szCs w:val="28"/>
        </w:rPr>
        <w:t>неприйнятність конституційної скарги</w:t>
      </w:r>
      <w:r w:rsidRPr="00EC7304">
        <w:rPr>
          <w:sz w:val="28"/>
          <w:szCs w:val="28"/>
        </w:rPr>
        <w:t>.</w:t>
      </w:r>
    </w:p>
    <w:p w:rsidR="00302665" w:rsidRPr="00EC7304" w:rsidRDefault="00302665" w:rsidP="00EC7304">
      <w:pPr>
        <w:pStyle w:val="af0"/>
        <w:spacing w:line="360" w:lineRule="auto"/>
        <w:ind w:firstLine="567"/>
        <w:jc w:val="both"/>
        <w:rPr>
          <w:sz w:val="28"/>
          <w:szCs w:val="28"/>
        </w:rPr>
      </w:pPr>
    </w:p>
    <w:p w:rsidR="00CF2FFB" w:rsidRDefault="00CF2FFB" w:rsidP="00EC7304">
      <w:pPr>
        <w:pStyle w:val="af0"/>
        <w:spacing w:line="360" w:lineRule="auto"/>
        <w:ind w:firstLine="567"/>
        <w:jc w:val="both"/>
        <w:rPr>
          <w:sz w:val="28"/>
          <w:szCs w:val="28"/>
        </w:rPr>
      </w:pPr>
      <w:r w:rsidRPr="00EC7304">
        <w:rPr>
          <w:sz w:val="28"/>
          <w:szCs w:val="28"/>
        </w:rPr>
        <w:t>2. Ухвала Другого сенату Конституційного Суду України є остаточною.</w:t>
      </w:r>
    </w:p>
    <w:p w:rsidR="00EC7304" w:rsidRDefault="00EC7304" w:rsidP="00EC7304">
      <w:pPr>
        <w:pStyle w:val="af0"/>
        <w:ind w:firstLine="567"/>
        <w:jc w:val="both"/>
        <w:rPr>
          <w:sz w:val="28"/>
          <w:szCs w:val="28"/>
        </w:rPr>
      </w:pPr>
    </w:p>
    <w:p w:rsidR="00EC7304" w:rsidRDefault="00EC7304" w:rsidP="00EC7304">
      <w:pPr>
        <w:pStyle w:val="af0"/>
        <w:ind w:firstLine="567"/>
        <w:jc w:val="both"/>
        <w:rPr>
          <w:sz w:val="28"/>
          <w:szCs w:val="28"/>
        </w:rPr>
      </w:pPr>
    </w:p>
    <w:p w:rsidR="00EC7304" w:rsidRDefault="00EC7304" w:rsidP="00EC7304">
      <w:pPr>
        <w:pStyle w:val="af0"/>
        <w:ind w:firstLine="567"/>
        <w:jc w:val="both"/>
        <w:rPr>
          <w:sz w:val="28"/>
          <w:szCs w:val="28"/>
        </w:rPr>
      </w:pPr>
    </w:p>
    <w:p w:rsidR="007530DB" w:rsidRPr="007530DB" w:rsidRDefault="007530DB" w:rsidP="007530DB">
      <w:pPr>
        <w:pStyle w:val="af0"/>
        <w:ind w:left="4254"/>
        <w:jc w:val="center"/>
        <w:rPr>
          <w:b/>
          <w:caps/>
          <w:sz w:val="28"/>
          <w:szCs w:val="28"/>
        </w:rPr>
      </w:pPr>
      <w:r w:rsidRPr="007530DB">
        <w:rPr>
          <w:b/>
          <w:caps/>
          <w:sz w:val="28"/>
          <w:szCs w:val="28"/>
        </w:rPr>
        <w:t>Другий сенат</w:t>
      </w:r>
    </w:p>
    <w:p w:rsidR="007530DB" w:rsidRPr="007530DB" w:rsidRDefault="007530DB" w:rsidP="007530DB">
      <w:pPr>
        <w:pStyle w:val="af0"/>
        <w:ind w:left="4254"/>
        <w:jc w:val="center"/>
        <w:rPr>
          <w:b/>
          <w:caps/>
          <w:sz w:val="28"/>
          <w:szCs w:val="28"/>
        </w:rPr>
      </w:pPr>
      <w:r w:rsidRPr="007530DB">
        <w:rPr>
          <w:b/>
          <w:caps/>
          <w:sz w:val="28"/>
          <w:szCs w:val="28"/>
        </w:rPr>
        <w:t>Конституційного Суду України</w:t>
      </w:r>
    </w:p>
    <w:sectPr w:rsidR="007530DB" w:rsidRPr="007530DB" w:rsidSect="00EC7304">
      <w:headerReference w:type="default" r:id="rId11"/>
      <w:footerReference w:type="defaul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77" w:rsidRDefault="00477D77" w:rsidP="00EC0BCB">
      <w:r>
        <w:separator/>
      </w:r>
    </w:p>
  </w:endnote>
  <w:endnote w:type="continuationSeparator" w:id="0">
    <w:p w:rsidR="00477D77" w:rsidRDefault="00477D77" w:rsidP="00EC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04" w:rsidRPr="00EC7304" w:rsidRDefault="00EC7304">
    <w:pPr>
      <w:pStyle w:val="ac"/>
      <w:rPr>
        <w:sz w:val="10"/>
        <w:szCs w:val="10"/>
      </w:rPr>
    </w:pPr>
    <w:r w:rsidRPr="00EC7304">
      <w:rPr>
        <w:sz w:val="10"/>
        <w:szCs w:val="10"/>
      </w:rPr>
      <w:fldChar w:fldCharType="begin"/>
    </w:r>
    <w:r w:rsidRPr="00EC7304">
      <w:rPr>
        <w:sz w:val="10"/>
        <w:szCs w:val="10"/>
      </w:rPr>
      <w:instrText xml:space="preserve"> FILENAME \p \* MERGEFORMAT </w:instrText>
    </w:r>
    <w:r w:rsidRPr="00EC7304">
      <w:rPr>
        <w:sz w:val="10"/>
        <w:szCs w:val="10"/>
      </w:rPr>
      <w:fldChar w:fldCharType="separate"/>
    </w:r>
    <w:r w:rsidR="007530DB">
      <w:rPr>
        <w:noProof/>
        <w:sz w:val="10"/>
        <w:szCs w:val="10"/>
      </w:rPr>
      <w:t>G:\2022\Suddi\Uhvala senata\II senat\28.docx</w:t>
    </w:r>
    <w:r w:rsidRPr="00EC7304">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04" w:rsidRPr="00EC7304" w:rsidRDefault="00EC7304">
    <w:pPr>
      <w:pStyle w:val="ac"/>
      <w:rPr>
        <w:sz w:val="10"/>
        <w:szCs w:val="10"/>
      </w:rPr>
    </w:pPr>
    <w:r w:rsidRPr="00EC7304">
      <w:rPr>
        <w:sz w:val="10"/>
        <w:szCs w:val="10"/>
      </w:rPr>
      <w:fldChar w:fldCharType="begin"/>
    </w:r>
    <w:r w:rsidRPr="00EC7304">
      <w:rPr>
        <w:sz w:val="10"/>
        <w:szCs w:val="10"/>
      </w:rPr>
      <w:instrText xml:space="preserve"> FILENAME \p \* MERGEFORMAT </w:instrText>
    </w:r>
    <w:r w:rsidRPr="00EC7304">
      <w:rPr>
        <w:sz w:val="10"/>
        <w:szCs w:val="10"/>
      </w:rPr>
      <w:fldChar w:fldCharType="separate"/>
    </w:r>
    <w:r w:rsidR="007530DB">
      <w:rPr>
        <w:noProof/>
        <w:sz w:val="10"/>
        <w:szCs w:val="10"/>
      </w:rPr>
      <w:t>G:\2022\Suddi\Uhvala senata\II senat\28.docx</w:t>
    </w:r>
    <w:r w:rsidRPr="00EC7304">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77" w:rsidRDefault="00477D77" w:rsidP="00EC0BCB">
      <w:r>
        <w:separator/>
      </w:r>
    </w:p>
  </w:footnote>
  <w:footnote w:type="continuationSeparator" w:id="0">
    <w:p w:rsidR="00477D77" w:rsidRDefault="00477D77" w:rsidP="00EC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CB" w:rsidRPr="00EC7304" w:rsidRDefault="00EC0BCB">
    <w:pPr>
      <w:pStyle w:val="aa"/>
      <w:jc w:val="center"/>
      <w:rPr>
        <w:sz w:val="28"/>
        <w:szCs w:val="28"/>
      </w:rPr>
    </w:pPr>
    <w:r w:rsidRPr="00EC7304">
      <w:rPr>
        <w:sz w:val="28"/>
        <w:szCs w:val="28"/>
      </w:rPr>
      <w:fldChar w:fldCharType="begin"/>
    </w:r>
    <w:r w:rsidRPr="00EC7304">
      <w:rPr>
        <w:sz w:val="28"/>
        <w:szCs w:val="28"/>
      </w:rPr>
      <w:instrText>PAGE   \* MERGEFORMAT</w:instrText>
    </w:r>
    <w:r w:rsidRPr="00EC7304">
      <w:rPr>
        <w:sz w:val="28"/>
        <w:szCs w:val="28"/>
      </w:rPr>
      <w:fldChar w:fldCharType="separate"/>
    </w:r>
    <w:r w:rsidR="000236F7">
      <w:rPr>
        <w:noProof/>
        <w:sz w:val="28"/>
        <w:szCs w:val="28"/>
      </w:rPr>
      <w:t>2</w:t>
    </w:r>
    <w:r w:rsidRPr="00EC7304">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942"/>
    <w:multiLevelType w:val="hybridMultilevel"/>
    <w:tmpl w:val="78AC0350"/>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 w15:restartNumberingAfterBreak="0">
    <w:nsid w:val="3AEE6A7D"/>
    <w:multiLevelType w:val="multilevel"/>
    <w:tmpl w:val="1F52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A69E3"/>
    <w:multiLevelType w:val="hybridMultilevel"/>
    <w:tmpl w:val="01567E4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74923AE"/>
    <w:multiLevelType w:val="hybridMultilevel"/>
    <w:tmpl w:val="44F4D052"/>
    <w:lvl w:ilvl="0" w:tplc="183C2CCA">
      <w:start w:val="1"/>
      <w:numFmt w:val="decimal"/>
      <w:lvlText w:val="%1."/>
      <w:lvlJc w:val="left"/>
      <w:pPr>
        <w:tabs>
          <w:tab w:val="num" w:pos="1152"/>
        </w:tabs>
        <w:ind w:left="1152" w:hanging="360"/>
      </w:pPr>
      <w:rPr>
        <w:rFonts w:hint="default"/>
      </w:rPr>
    </w:lvl>
    <w:lvl w:ilvl="1" w:tplc="04220019" w:tentative="1">
      <w:start w:val="1"/>
      <w:numFmt w:val="lowerLetter"/>
      <w:lvlText w:val="%2."/>
      <w:lvlJc w:val="left"/>
      <w:pPr>
        <w:tabs>
          <w:tab w:val="num" w:pos="1872"/>
        </w:tabs>
        <w:ind w:left="1872" w:hanging="360"/>
      </w:pPr>
    </w:lvl>
    <w:lvl w:ilvl="2" w:tplc="0422001B" w:tentative="1">
      <w:start w:val="1"/>
      <w:numFmt w:val="lowerRoman"/>
      <w:lvlText w:val="%3."/>
      <w:lvlJc w:val="right"/>
      <w:pPr>
        <w:tabs>
          <w:tab w:val="num" w:pos="2592"/>
        </w:tabs>
        <w:ind w:left="2592" w:hanging="180"/>
      </w:pPr>
    </w:lvl>
    <w:lvl w:ilvl="3" w:tplc="0422000F" w:tentative="1">
      <w:start w:val="1"/>
      <w:numFmt w:val="decimal"/>
      <w:lvlText w:val="%4."/>
      <w:lvlJc w:val="left"/>
      <w:pPr>
        <w:tabs>
          <w:tab w:val="num" w:pos="3312"/>
        </w:tabs>
        <w:ind w:left="3312" w:hanging="360"/>
      </w:pPr>
    </w:lvl>
    <w:lvl w:ilvl="4" w:tplc="04220019" w:tentative="1">
      <w:start w:val="1"/>
      <w:numFmt w:val="lowerLetter"/>
      <w:lvlText w:val="%5."/>
      <w:lvlJc w:val="left"/>
      <w:pPr>
        <w:tabs>
          <w:tab w:val="num" w:pos="4032"/>
        </w:tabs>
        <w:ind w:left="4032" w:hanging="360"/>
      </w:pPr>
    </w:lvl>
    <w:lvl w:ilvl="5" w:tplc="0422001B" w:tentative="1">
      <w:start w:val="1"/>
      <w:numFmt w:val="lowerRoman"/>
      <w:lvlText w:val="%6."/>
      <w:lvlJc w:val="right"/>
      <w:pPr>
        <w:tabs>
          <w:tab w:val="num" w:pos="4752"/>
        </w:tabs>
        <w:ind w:left="4752" w:hanging="180"/>
      </w:pPr>
    </w:lvl>
    <w:lvl w:ilvl="6" w:tplc="0422000F" w:tentative="1">
      <w:start w:val="1"/>
      <w:numFmt w:val="decimal"/>
      <w:lvlText w:val="%7."/>
      <w:lvlJc w:val="left"/>
      <w:pPr>
        <w:tabs>
          <w:tab w:val="num" w:pos="5472"/>
        </w:tabs>
        <w:ind w:left="5472" w:hanging="360"/>
      </w:pPr>
    </w:lvl>
    <w:lvl w:ilvl="7" w:tplc="04220019" w:tentative="1">
      <w:start w:val="1"/>
      <w:numFmt w:val="lowerLetter"/>
      <w:lvlText w:val="%8."/>
      <w:lvlJc w:val="left"/>
      <w:pPr>
        <w:tabs>
          <w:tab w:val="num" w:pos="6192"/>
        </w:tabs>
        <w:ind w:left="6192" w:hanging="360"/>
      </w:pPr>
    </w:lvl>
    <w:lvl w:ilvl="8" w:tplc="0422001B" w:tentative="1">
      <w:start w:val="1"/>
      <w:numFmt w:val="lowerRoman"/>
      <w:lvlText w:val="%9."/>
      <w:lvlJc w:val="right"/>
      <w:pPr>
        <w:tabs>
          <w:tab w:val="num" w:pos="6912"/>
        </w:tabs>
        <w:ind w:left="6912" w:hanging="180"/>
      </w:pPr>
    </w:lvl>
  </w:abstractNum>
  <w:abstractNum w:abstractNumId="4" w15:restartNumberingAfterBreak="0">
    <w:nsid w:val="746A61A6"/>
    <w:multiLevelType w:val="hybridMultilevel"/>
    <w:tmpl w:val="690433E0"/>
    <w:lvl w:ilvl="0" w:tplc="C290990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E8"/>
    <w:rsid w:val="000003E9"/>
    <w:rsid w:val="00004AEF"/>
    <w:rsid w:val="00014F27"/>
    <w:rsid w:val="000236F7"/>
    <w:rsid w:val="0003060A"/>
    <w:rsid w:val="000312A8"/>
    <w:rsid w:val="00044F92"/>
    <w:rsid w:val="00064C37"/>
    <w:rsid w:val="00066EA1"/>
    <w:rsid w:val="00071FDD"/>
    <w:rsid w:val="000727A4"/>
    <w:rsid w:val="0008020D"/>
    <w:rsid w:val="000868CA"/>
    <w:rsid w:val="00092119"/>
    <w:rsid w:val="00097EF2"/>
    <w:rsid w:val="000A2173"/>
    <w:rsid w:val="000A386E"/>
    <w:rsid w:val="000A64BF"/>
    <w:rsid w:val="000B3A19"/>
    <w:rsid w:val="000B4055"/>
    <w:rsid w:val="000B4DB0"/>
    <w:rsid w:val="000C042F"/>
    <w:rsid w:val="000D19A2"/>
    <w:rsid w:val="000D7E55"/>
    <w:rsid w:val="000E11FF"/>
    <w:rsid w:val="00102752"/>
    <w:rsid w:val="00113299"/>
    <w:rsid w:val="001179E0"/>
    <w:rsid w:val="001208F0"/>
    <w:rsid w:val="00124406"/>
    <w:rsid w:val="0012631C"/>
    <w:rsid w:val="001331F8"/>
    <w:rsid w:val="00146E34"/>
    <w:rsid w:val="00155E2A"/>
    <w:rsid w:val="001609CA"/>
    <w:rsid w:val="00166CCF"/>
    <w:rsid w:val="00171364"/>
    <w:rsid w:val="00173272"/>
    <w:rsid w:val="00175E36"/>
    <w:rsid w:val="0017633F"/>
    <w:rsid w:val="00190ACD"/>
    <w:rsid w:val="0019585C"/>
    <w:rsid w:val="00196812"/>
    <w:rsid w:val="001A5B80"/>
    <w:rsid w:val="001A73CD"/>
    <w:rsid w:val="001B1DC6"/>
    <w:rsid w:val="001B43FA"/>
    <w:rsid w:val="001B7320"/>
    <w:rsid w:val="001C1DEC"/>
    <w:rsid w:val="001F063F"/>
    <w:rsid w:val="001F0893"/>
    <w:rsid w:val="001F0A11"/>
    <w:rsid w:val="00205B98"/>
    <w:rsid w:val="00231686"/>
    <w:rsid w:val="00234D58"/>
    <w:rsid w:val="0026731C"/>
    <w:rsid w:val="00270425"/>
    <w:rsid w:val="00274646"/>
    <w:rsid w:val="00274D2A"/>
    <w:rsid w:val="0027610C"/>
    <w:rsid w:val="00286A81"/>
    <w:rsid w:val="00295F5E"/>
    <w:rsid w:val="00297019"/>
    <w:rsid w:val="002A5887"/>
    <w:rsid w:val="002B4566"/>
    <w:rsid w:val="002C25F1"/>
    <w:rsid w:val="002D2593"/>
    <w:rsid w:val="002D4083"/>
    <w:rsid w:val="002E38B8"/>
    <w:rsid w:val="002F1F56"/>
    <w:rsid w:val="002F53D1"/>
    <w:rsid w:val="00300D77"/>
    <w:rsid w:val="00302665"/>
    <w:rsid w:val="00312AC5"/>
    <w:rsid w:val="00321501"/>
    <w:rsid w:val="0032234B"/>
    <w:rsid w:val="003223DD"/>
    <w:rsid w:val="003272C4"/>
    <w:rsid w:val="00355E38"/>
    <w:rsid w:val="00377D79"/>
    <w:rsid w:val="003804E9"/>
    <w:rsid w:val="0038716C"/>
    <w:rsid w:val="00392052"/>
    <w:rsid w:val="003A4B4C"/>
    <w:rsid w:val="003A4F51"/>
    <w:rsid w:val="003B02F6"/>
    <w:rsid w:val="003B3E97"/>
    <w:rsid w:val="003B4EEB"/>
    <w:rsid w:val="003B6323"/>
    <w:rsid w:val="003C2B38"/>
    <w:rsid w:val="003C3C17"/>
    <w:rsid w:val="003C55DB"/>
    <w:rsid w:val="003D50CE"/>
    <w:rsid w:val="003E1FF3"/>
    <w:rsid w:val="004052D6"/>
    <w:rsid w:val="00405BA1"/>
    <w:rsid w:val="00406F0E"/>
    <w:rsid w:val="00407EE5"/>
    <w:rsid w:val="0041007C"/>
    <w:rsid w:val="0041372D"/>
    <w:rsid w:val="00424C6B"/>
    <w:rsid w:val="00430E94"/>
    <w:rsid w:val="004378B8"/>
    <w:rsid w:val="00441763"/>
    <w:rsid w:val="00446AEC"/>
    <w:rsid w:val="00454666"/>
    <w:rsid w:val="0046545D"/>
    <w:rsid w:val="00465E23"/>
    <w:rsid w:val="00477D77"/>
    <w:rsid w:val="00480AE8"/>
    <w:rsid w:val="004B30A9"/>
    <w:rsid w:val="004D281B"/>
    <w:rsid w:val="004F5438"/>
    <w:rsid w:val="00513A1C"/>
    <w:rsid w:val="0051505B"/>
    <w:rsid w:val="00516AFD"/>
    <w:rsid w:val="005206D3"/>
    <w:rsid w:val="00523D00"/>
    <w:rsid w:val="00527943"/>
    <w:rsid w:val="00552E4A"/>
    <w:rsid w:val="00565B82"/>
    <w:rsid w:val="00574741"/>
    <w:rsid w:val="00584084"/>
    <w:rsid w:val="005949B2"/>
    <w:rsid w:val="005B0524"/>
    <w:rsid w:val="005B3AF4"/>
    <w:rsid w:val="005B5BA2"/>
    <w:rsid w:val="005B7C4A"/>
    <w:rsid w:val="005D435E"/>
    <w:rsid w:val="005E7490"/>
    <w:rsid w:val="00604E95"/>
    <w:rsid w:val="006138AC"/>
    <w:rsid w:val="0062016D"/>
    <w:rsid w:val="00660345"/>
    <w:rsid w:val="00684EC2"/>
    <w:rsid w:val="00686395"/>
    <w:rsid w:val="006871AC"/>
    <w:rsid w:val="00693B0F"/>
    <w:rsid w:val="00696F3F"/>
    <w:rsid w:val="006B3159"/>
    <w:rsid w:val="006B540A"/>
    <w:rsid w:val="006B67FB"/>
    <w:rsid w:val="007009C7"/>
    <w:rsid w:val="00704E7D"/>
    <w:rsid w:val="00706B62"/>
    <w:rsid w:val="0070780F"/>
    <w:rsid w:val="00713FBA"/>
    <w:rsid w:val="007169CD"/>
    <w:rsid w:val="00725D62"/>
    <w:rsid w:val="00734070"/>
    <w:rsid w:val="00742F74"/>
    <w:rsid w:val="00743506"/>
    <w:rsid w:val="007530DB"/>
    <w:rsid w:val="00765A70"/>
    <w:rsid w:val="00787311"/>
    <w:rsid w:val="007A111F"/>
    <w:rsid w:val="007A6E1D"/>
    <w:rsid w:val="007D4A77"/>
    <w:rsid w:val="007E5713"/>
    <w:rsid w:val="007F1C48"/>
    <w:rsid w:val="00812CF6"/>
    <w:rsid w:val="00824FAE"/>
    <w:rsid w:val="0082610A"/>
    <w:rsid w:val="00832EC3"/>
    <w:rsid w:val="00857D2E"/>
    <w:rsid w:val="008640C0"/>
    <w:rsid w:val="00866B21"/>
    <w:rsid w:val="00897D08"/>
    <w:rsid w:val="008A0195"/>
    <w:rsid w:val="008A4F0C"/>
    <w:rsid w:val="008A7353"/>
    <w:rsid w:val="008A7B68"/>
    <w:rsid w:val="008C20FC"/>
    <w:rsid w:val="008E0B8F"/>
    <w:rsid w:val="008E1571"/>
    <w:rsid w:val="008F28F6"/>
    <w:rsid w:val="008F6FBB"/>
    <w:rsid w:val="008F7F16"/>
    <w:rsid w:val="00916B71"/>
    <w:rsid w:val="00922343"/>
    <w:rsid w:val="009235CA"/>
    <w:rsid w:val="00936951"/>
    <w:rsid w:val="00944BC5"/>
    <w:rsid w:val="00965F79"/>
    <w:rsid w:val="00975E5C"/>
    <w:rsid w:val="009763B3"/>
    <w:rsid w:val="00981BFD"/>
    <w:rsid w:val="00990641"/>
    <w:rsid w:val="00994672"/>
    <w:rsid w:val="00996C91"/>
    <w:rsid w:val="009A1269"/>
    <w:rsid w:val="009A3569"/>
    <w:rsid w:val="009A43F9"/>
    <w:rsid w:val="009A45BE"/>
    <w:rsid w:val="009B3701"/>
    <w:rsid w:val="009C66E2"/>
    <w:rsid w:val="009D1EA5"/>
    <w:rsid w:val="009D26B7"/>
    <w:rsid w:val="009E5F31"/>
    <w:rsid w:val="009F111A"/>
    <w:rsid w:val="009F7212"/>
    <w:rsid w:val="009F7973"/>
    <w:rsid w:val="00A00B7F"/>
    <w:rsid w:val="00A120DA"/>
    <w:rsid w:val="00A25B7B"/>
    <w:rsid w:val="00A503D7"/>
    <w:rsid w:val="00A60697"/>
    <w:rsid w:val="00A67A48"/>
    <w:rsid w:val="00A67CD7"/>
    <w:rsid w:val="00A75814"/>
    <w:rsid w:val="00A85A22"/>
    <w:rsid w:val="00A86FDD"/>
    <w:rsid w:val="00A92013"/>
    <w:rsid w:val="00A92F6D"/>
    <w:rsid w:val="00AB0AFD"/>
    <w:rsid w:val="00AC3460"/>
    <w:rsid w:val="00AC3E03"/>
    <w:rsid w:val="00AE1B62"/>
    <w:rsid w:val="00AE7780"/>
    <w:rsid w:val="00AF5B21"/>
    <w:rsid w:val="00B071CA"/>
    <w:rsid w:val="00B07C16"/>
    <w:rsid w:val="00B17187"/>
    <w:rsid w:val="00B201CD"/>
    <w:rsid w:val="00B25744"/>
    <w:rsid w:val="00B26A7D"/>
    <w:rsid w:val="00B30B62"/>
    <w:rsid w:val="00B3665C"/>
    <w:rsid w:val="00B43BED"/>
    <w:rsid w:val="00B523A9"/>
    <w:rsid w:val="00B615E8"/>
    <w:rsid w:val="00B650A3"/>
    <w:rsid w:val="00B8783B"/>
    <w:rsid w:val="00B91FB1"/>
    <w:rsid w:val="00BA191A"/>
    <w:rsid w:val="00BB21CB"/>
    <w:rsid w:val="00BC2E5F"/>
    <w:rsid w:val="00BC6453"/>
    <w:rsid w:val="00BD4C36"/>
    <w:rsid w:val="00BD7BC2"/>
    <w:rsid w:val="00BE1A68"/>
    <w:rsid w:val="00BE21EE"/>
    <w:rsid w:val="00BE6F43"/>
    <w:rsid w:val="00BE7B2B"/>
    <w:rsid w:val="00BF035B"/>
    <w:rsid w:val="00BF15D3"/>
    <w:rsid w:val="00BF6C1A"/>
    <w:rsid w:val="00C06F59"/>
    <w:rsid w:val="00C1001A"/>
    <w:rsid w:val="00C126F7"/>
    <w:rsid w:val="00C417BB"/>
    <w:rsid w:val="00C51E89"/>
    <w:rsid w:val="00C6126E"/>
    <w:rsid w:val="00C732AB"/>
    <w:rsid w:val="00C734D2"/>
    <w:rsid w:val="00C7664A"/>
    <w:rsid w:val="00C91FAC"/>
    <w:rsid w:val="00CA11C0"/>
    <w:rsid w:val="00CC75A2"/>
    <w:rsid w:val="00CD1AA5"/>
    <w:rsid w:val="00CD26E2"/>
    <w:rsid w:val="00CE022B"/>
    <w:rsid w:val="00CE6BE0"/>
    <w:rsid w:val="00CF0CDC"/>
    <w:rsid w:val="00CF2FFB"/>
    <w:rsid w:val="00CF7E81"/>
    <w:rsid w:val="00D00756"/>
    <w:rsid w:val="00D21572"/>
    <w:rsid w:val="00D2192C"/>
    <w:rsid w:val="00D30013"/>
    <w:rsid w:val="00D35BA1"/>
    <w:rsid w:val="00D40306"/>
    <w:rsid w:val="00D40D7A"/>
    <w:rsid w:val="00D46704"/>
    <w:rsid w:val="00D539CA"/>
    <w:rsid w:val="00D74F12"/>
    <w:rsid w:val="00D856EE"/>
    <w:rsid w:val="00D923F9"/>
    <w:rsid w:val="00DA41CB"/>
    <w:rsid w:val="00DB3681"/>
    <w:rsid w:val="00DB5242"/>
    <w:rsid w:val="00DC237B"/>
    <w:rsid w:val="00DC4D4D"/>
    <w:rsid w:val="00DD7BC7"/>
    <w:rsid w:val="00DF0915"/>
    <w:rsid w:val="00DF1B26"/>
    <w:rsid w:val="00DF2B8B"/>
    <w:rsid w:val="00DF51F1"/>
    <w:rsid w:val="00E00A93"/>
    <w:rsid w:val="00E07AA3"/>
    <w:rsid w:val="00E238ED"/>
    <w:rsid w:val="00E2530E"/>
    <w:rsid w:val="00E2653B"/>
    <w:rsid w:val="00E2771A"/>
    <w:rsid w:val="00E31452"/>
    <w:rsid w:val="00E423DD"/>
    <w:rsid w:val="00E667D2"/>
    <w:rsid w:val="00E711EB"/>
    <w:rsid w:val="00E716C4"/>
    <w:rsid w:val="00E86E98"/>
    <w:rsid w:val="00E87C6F"/>
    <w:rsid w:val="00E92B0A"/>
    <w:rsid w:val="00E9496B"/>
    <w:rsid w:val="00EB2FE9"/>
    <w:rsid w:val="00EB5FE4"/>
    <w:rsid w:val="00EB62A9"/>
    <w:rsid w:val="00EC0BCB"/>
    <w:rsid w:val="00EC327A"/>
    <w:rsid w:val="00EC467C"/>
    <w:rsid w:val="00EC7304"/>
    <w:rsid w:val="00ED3AD4"/>
    <w:rsid w:val="00ED44F9"/>
    <w:rsid w:val="00EE7E53"/>
    <w:rsid w:val="00EF69A0"/>
    <w:rsid w:val="00F0181A"/>
    <w:rsid w:val="00F10250"/>
    <w:rsid w:val="00F20F52"/>
    <w:rsid w:val="00F24153"/>
    <w:rsid w:val="00F519DB"/>
    <w:rsid w:val="00F62B7B"/>
    <w:rsid w:val="00F77E69"/>
    <w:rsid w:val="00F8202C"/>
    <w:rsid w:val="00F8404E"/>
    <w:rsid w:val="00F97B5C"/>
    <w:rsid w:val="00FA4EEB"/>
    <w:rsid w:val="00FA56F2"/>
    <w:rsid w:val="00FA7EE5"/>
    <w:rsid w:val="00FB09C5"/>
    <w:rsid w:val="00FC0E21"/>
    <w:rsid w:val="00FC46DD"/>
    <w:rsid w:val="00FD1654"/>
    <w:rsid w:val="00FE6115"/>
    <w:rsid w:val="00FF0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0B5B3-7FA4-4870-992D-9BB68C4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2631C"/>
    <w:pPr>
      <w:keepNext/>
      <w:spacing w:line="220" w:lineRule="auto"/>
      <w:jc w:val="center"/>
      <w:outlineLvl w:val="0"/>
    </w:pPr>
    <w:rPr>
      <w:rFonts w:ascii="Peterburg" w:hAnsi="Peterburg"/>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0AE8"/>
    <w:pPr>
      <w:ind w:right="961"/>
      <w:jc w:val="both"/>
    </w:pPr>
    <w:rPr>
      <w:rFonts w:ascii="Peterburg" w:hAnsi="Peterburg"/>
      <w:b/>
      <w:sz w:val="28"/>
      <w:szCs w:val="28"/>
      <w:lang w:eastAsia="ru-RU"/>
    </w:rPr>
  </w:style>
  <w:style w:type="paragraph" w:styleId="a5">
    <w:name w:val="Body Text Indent"/>
    <w:basedOn w:val="a"/>
    <w:rsid w:val="00BF15D3"/>
    <w:pPr>
      <w:spacing w:after="120"/>
      <w:ind w:left="283"/>
    </w:pPr>
  </w:style>
  <w:style w:type="table" w:styleId="a6">
    <w:name w:val="Table Grid"/>
    <w:basedOn w:val="a1"/>
    <w:rsid w:val="0032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30E94"/>
  </w:style>
  <w:style w:type="paragraph" w:styleId="a7">
    <w:name w:val="List Paragraph"/>
    <w:basedOn w:val="a"/>
    <w:uiPriority w:val="34"/>
    <w:qFormat/>
    <w:rsid w:val="008E1571"/>
    <w:pPr>
      <w:spacing w:after="160" w:line="259" w:lineRule="auto"/>
      <w:ind w:left="720"/>
      <w:contextualSpacing/>
    </w:pPr>
    <w:rPr>
      <w:rFonts w:ascii="Calibri" w:eastAsia="Calibri" w:hAnsi="Calibri"/>
      <w:sz w:val="22"/>
      <w:szCs w:val="22"/>
      <w:lang w:eastAsia="en-US"/>
    </w:rPr>
  </w:style>
  <w:style w:type="paragraph" w:styleId="a8">
    <w:name w:val="Balloon Text"/>
    <w:basedOn w:val="a"/>
    <w:link w:val="a9"/>
    <w:rsid w:val="00171364"/>
    <w:rPr>
      <w:rFonts w:ascii="Segoe UI" w:hAnsi="Segoe UI" w:cs="Segoe UI"/>
      <w:sz w:val="18"/>
      <w:szCs w:val="18"/>
    </w:rPr>
  </w:style>
  <w:style w:type="character" w:customStyle="1" w:styleId="a9">
    <w:name w:val="Текст у виносці Знак"/>
    <w:link w:val="a8"/>
    <w:rsid w:val="00171364"/>
    <w:rPr>
      <w:rFonts w:ascii="Segoe UI" w:hAnsi="Segoe UI" w:cs="Segoe UI"/>
      <w:sz w:val="18"/>
      <w:szCs w:val="18"/>
    </w:rPr>
  </w:style>
  <w:style w:type="paragraph" w:styleId="HTML">
    <w:name w:val="HTML Preformatted"/>
    <w:basedOn w:val="a"/>
    <w:link w:val="HTML0"/>
    <w:uiPriority w:val="99"/>
    <w:unhideWhenUsed/>
    <w:rsid w:val="00E66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E667D2"/>
    <w:rPr>
      <w:rFonts w:ascii="Courier New" w:hAnsi="Courier New" w:cs="Courier New"/>
    </w:rPr>
  </w:style>
  <w:style w:type="paragraph" w:styleId="aa">
    <w:name w:val="header"/>
    <w:basedOn w:val="a"/>
    <w:link w:val="ab"/>
    <w:rsid w:val="00EC0BCB"/>
    <w:pPr>
      <w:tabs>
        <w:tab w:val="center" w:pos="4819"/>
        <w:tab w:val="right" w:pos="9639"/>
      </w:tabs>
    </w:pPr>
  </w:style>
  <w:style w:type="character" w:customStyle="1" w:styleId="ab">
    <w:name w:val="Верхній колонтитул Знак"/>
    <w:link w:val="aa"/>
    <w:rsid w:val="00EC0BCB"/>
    <w:rPr>
      <w:sz w:val="24"/>
      <w:szCs w:val="24"/>
    </w:rPr>
  </w:style>
  <w:style w:type="paragraph" w:styleId="ac">
    <w:name w:val="footer"/>
    <w:basedOn w:val="a"/>
    <w:link w:val="ad"/>
    <w:rsid w:val="00EC0BCB"/>
    <w:pPr>
      <w:tabs>
        <w:tab w:val="center" w:pos="4819"/>
        <w:tab w:val="right" w:pos="9639"/>
      </w:tabs>
    </w:pPr>
  </w:style>
  <w:style w:type="character" w:customStyle="1" w:styleId="ad">
    <w:name w:val="Нижній колонтитул Знак"/>
    <w:link w:val="ac"/>
    <w:rsid w:val="00EC0BCB"/>
    <w:rPr>
      <w:sz w:val="24"/>
      <w:szCs w:val="24"/>
    </w:rPr>
  </w:style>
  <w:style w:type="character" w:customStyle="1" w:styleId="10">
    <w:name w:val="Заголовок 1 Знак"/>
    <w:link w:val="1"/>
    <w:rsid w:val="0012631C"/>
    <w:rPr>
      <w:rFonts w:ascii="Peterburg" w:hAnsi="Peterburg"/>
      <w:sz w:val="28"/>
      <w:szCs w:val="24"/>
      <w:lang w:eastAsia="ru-RU"/>
    </w:rPr>
  </w:style>
  <w:style w:type="character" w:customStyle="1" w:styleId="dat">
    <w:name w:val="dat"/>
    <w:rsid w:val="002A5887"/>
  </w:style>
  <w:style w:type="character" w:styleId="ae">
    <w:name w:val="Strong"/>
    <w:uiPriority w:val="22"/>
    <w:qFormat/>
    <w:rsid w:val="002A5887"/>
    <w:rPr>
      <w:b/>
      <w:bCs/>
    </w:rPr>
  </w:style>
  <w:style w:type="character" w:customStyle="1" w:styleId="a4">
    <w:name w:val="Основний текст Знак"/>
    <w:link w:val="a3"/>
    <w:rsid w:val="009E5F31"/>
    <w:rPr>
      <w:rFonts w:ascii="Peterburg" w:hAnsi="Peterburg"/>
      <w:b/>
      <w:sz w:val="28"/>
      <w:szCs w:val="28"/>
      <w:lang w:eastAsia="ru-RU"/>
    </w:rPr>
  </w:style>
  <w:style w:type="paragraph" w:styleId="af">
    <w:name w:val="Normal (Web)"/>
    <w:basedOn w:val="a"/>
    <w:uiPriority w:val="99"/>
    <w:unhideWhenUsed/>
    <w:rsid w:val="002B4566"/>
    <w:pPr>
      <w:spacing w:before="100" w:beforeAutospacing="1" w:after="100" w:afterAutospacing="1"/>
    </w:pPr>
  </w:style>
  <w:style w:type="paragraph" w:styleId="af0">
    <w:name w:val="No Spacing"/>
    <w:uiPriority w:val="1"/>
    <w:qFormat/>
    <w:rsid w:val="00D74F12"/>
    <w:rPr>
      <w:sz w:val="24"/>
      <w:szCs w:val="24"/>
    </w:rPr>
  </w:style>
  <w:style w:type="character" w:customStyle="1" w:styleId="rvts46">
    <w:name w:val="rvts46"/>
    <w:rsid w:val="0070780F"/>
  </w:style>
  <w:style w:type="character" w:styleId="af1">
    <w:name w:val="Hyperlink"/>
    <w:uiPriority w:val="99"/>
    <w:unhideWhenUsed/>
    <w:rsid w:val="0070780F"/>
    <w:rPr>
      <w:color w:val="0000FF"/>
      <w:u w:val="single"/>
    </w:rPr>
  </w:style>
  <w:style w:type="paragraph" w:customStyle="1" w:styleId="rvps2">
    <w:name w:val="rvps2"/>
    <w:basedOn w:val="a"/>
    <w:rsid w:val="0032234B"/>
    <w:pPr>
      <w:spacing w:before="100" w:beforeAutospacing="1" w:after="100" w:afterAutospacing="1"/>
    </w:pPr>
  </w:style>
  <w:style w:type="character" w:customStyle="1" w:styleId="rvts23">
    <w:name w:val="rvts23"/>
    <w:rsid w:val="000B4055"/>
  </w:style>
  <w:style w:type="paragraph" w:customStyle="1" w:styleId="rvps17">
    <w:name w:val="rvps17"/>
    <w:basedOn w:val="a"/>
    <w:rsid w:val="00936951"/>
    <w:pPr>
      <w:spacing w:before="100" w:beforeAutospacing="1" w:after="100" w:afterAutospacing="1"/>
    </w:pPr>
  </w:style>
  <w:style w:type="character" w:customStyle="1" w:styleId="rvts78">
    <w:name w:val="rvts78"/>
    <w:rsid w:val="00936951"/>
  </w:style>
  <w:style w:type="paragraph" w:customStyle="1" w:styleId="rvps6">
    <w:name w:val="rvps6"/>
    <w:basedOn w:val="a"/>
    <w:rsid w:val="00936951"/>
    <w:pPr>
      <w:spacing w:before="100" w:beforeAutospacing="1" w:after="100" w:afterAutospacing="1"/>
    </w:pPr>
  </w:style>
  <w:style w:type="character" w:customStyle="1" w:styleId="rvts44">
    <w:name w:val="rvts44"/>
    <w:rsid w:val="0093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3258">
      <w:bodyDiv w:val="1"/>
      <w:marLeft w:val="0"/>
      <w:marRight w:val="0"/>
      <w:marTop w:val="0"/>
      <w:marBottom w:val="0"/>
      <w:divBdr>
        <w:top w:val="none" w:sz="0" w:space="0" w:color="auto"/>
        <w:left w:val="none" w:sz="0" w:space="0" w:color="auto"/>
        <w:bottom w:val="none" w:sz="0" w:space="0" w:color="auto"/>
        <w:right w:val="none" w:sz="0" w:space="0" w:color="auto"/>
      </w:divBdr>
    </w:div>
    <w:div w:id="307324414">
      <w:bodyDiv w:val="1"/>
      <w:marLeft w:val="0"/>
      <w:marRight w:val="0"/>
      <w:marTop w:val="0"/>
      <w:marBottom w:val="0"/>
      <w:divBdr>
        <w:top w:val="none" w:sz="0" w:space="0" w:color="auto"/>
        <w:left w:val="none" w:sz="0" w:space="0" w:color="auto"/>
        <w:bottom w:val="none" w:sz="0" w:space="0" w:color="auto"/>
        <w:right w:val="none" w:sz="0" w:space="0" w:color="auto"/>
      </w:divBdr>
    </w:div>
    <w:div w:id="519053506">
      <w:bodyDiv w:val="1"/>
      <w:marLeft w:val="0"/>
      <w:marRight w:val="0"/>
      <w:marTop w:val="0"/>
      <w:marBottom w:val="0"/>
      <w:divBdr>
        <w:top w:val="none" w:sz="0" w:space="0" w:color="auto"/>
        <w:left w:val="none" w:sz="0" w:space="0" w:color="auto"/>
        <w:bottom w:val="none" w:sz="0" w:space="0" w:color="auto"/>
        <w:right w:val="none" w:sz="0" w:space="0" w:color="auto"/>
      </w:divBdr>
    </w:div>
    <w:div w:id="676081255">
      <w:bodyDiv w:val="1"/>
      <w:marLeft w:val="0"/>
      <w:marRight w:val="0"/>
      <w:marTop w:val="0"/>
      <w:marBottom w:val="0"/>
      <w:divBdr>
        <w:top w:val="none" w:sz="0" w:space="0" w:color="auto"/>
        <w:left w:val="none" w:sz="0" w:space="0" w:color="auto"/>
        <w:bottom w:val="none" w:sz="0" w:space="0" w:color="auto"/>
        <w:right w:val="none" w:sz="0" w:space="0" w:color="auto"/>
      </w:divBdr>
    </w:div>
    <w:div w:id="935555149">
      <w:bodyDiv w:val="1"/>
      <w:marLeft w:val="0"/>
      <w:marRight w:val="0"/>
      <w:marTop w:val="0"/>
      <w:marBottom w:val="0"/>
      <w:divBdr>
        <w:top w:val="none" w:sz="0" w:space="0" w:color="auto"/>
        <w:left w:val="none" w:sz="0" w:space="0" w:color="auto"/>
        <w:bottom w:val="none" w:sz="0" w:space="0" w:color="auto"/>
        <w:right w:val="none" w:sz="0" w:space="0" w:color="auto"/>
      </w:divBdr>
    </w:div>
    <w:div w:id="1214000895">
      <w:bodyDiv w:val="1"/>
      <w:marLeft w:val="0"/>
      <w:marRight w:val="0"/>
      <w:marTop w:val="0"/>
      <w:marBottom w:val="0"/>
      <w:divBdr>
        <w:top w:val="none" w:sz="0" w:space="0" w:color="auto"/>
        <w:left w:val="none" w:sz="0" w:space="0" w:color="auto"/>
        <w:bottom w:val="none" w:sz="0" w:space="0" w:color="auto"/>
        <w:right w:val="none" w:sz="0" w:space="0" w:color="auto"/>
      </w:divBdr>
      <w:divsChild>
        <w:div w:id="1515339489">
          <w:marLeft w:val="0"/>
          <w:marRight w:val="0"/>
          <w:marTop w:val="0"/>
          <w:marBottom w:val="150"/>
          <w:divBdr>
            <w:top w:val="none" w:sz="0" w:space="0" w:color="auto"/>
            <w:left w:val="none" w:sz="0" w:space="0" w:color="auto"/>
            <w:bottom w:val="none" w:sz="0" w:space="0" w:color="auto"/>
            <w:right w:val="none" w:sz="0" w:space="0" w:color="auto"/>
          </w:divBdr>
        </w:div>
      </w:divsChild>
    </w:div>
    <w:div w:id="1367633575">
      <w:bodyDiv w:val="1"/>
      <w:marLeft w:val="0"/>
      <w:marRight w:val="0"/>
      <w:marTop w:val="0"/>
      <w:marBottom w:val="0"/>
      <w:divBdr>
        <w:top w:val="none" w:sz="0" w:space="0" w:color="auto"/>
        <w:left w:val="none" w:sz="0" w:space="0" w:color="auto"/>
        <w:bottom w:val="none" w:sz="0" w:space="0" w:color="auto"/>
        <w:right w:val="none" w:sz="0" w:space="0" w:color="auto"/>
      </w:divBdr>
    </w:div>
    <w:div w:id="1755280319">
      <w:bodyDiv w:val="1"/>
      <w:marLeft w:val="0"/>
      <w:marRight w:val="0"/>
      <w:marTop w:val="0"/>
      <w:marBottom w:val="0"/>
      <w:divBdr>
        <w:top w:val="none" w:sz="0" w:space="0" w:color="auto"/>
        <w:left w:val="none" w:sz="0" w:space="0" w:color="auto"/>
        <w:bottom w:val="none" w:sz="0" w:space="0" w:color="auto"/>
        <w:right w:val="none" w:sz="0" w:space="0" w:color="auto"/>
      </w:divBdr>
    </w:div>
    <w:div w:id="1770849735">
      <w:bodyDiv w:val="1"/>
      <w:marLeft w:val="0"/>
      <w:marRight w:val="0"/>
      <w:marTop w:val="0"/>
      <w:marBottom w:val="0"/>
      <w:divBdr>
        <w:top w:val="none" w:sz="0" w:space="0" w:color="auto"/>
        <w:left w:val="none" w:sz="0" w:space="0" w:color="auto"/>
        <w:bottom w:val="none" w:sz="0" w:space="0" w:color="auto"/>
        <w:right w:val="none" w:sz="0" w:space="0" w:color="auto"/>
      </w:divBdr>
    </w:div>
    <w:div w:id="18500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v003p710-13" TargetMode="External"/><Relationship Id="rId4" Type="http://schemas.openxmlformats.org/officeDocument/2006/relationships/settings" Target="settings.xml"/><Relationship Id="rId9" Type="http://schemas.openxmlformats.org/officeDocument/2006/relationships/hyperlink" Target="https://zakon.rada.gov.ua/laws/show/v003p710-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C274-A27C-40EB-A3DA-8E2DF341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6250</Words>
  <Characters>3564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Доповідь судді Ю</vt:lpstr>
      <vt:lpstr>Доповідь судді Ю</vt:lpstr>
    </vt:vector>
  </TitlesOfParts>
  <Company/>
  <LinksUpToDate>false</LinksUpToDate>
  <CharactersWithSpaces>9795</CharactersWithSpaces>
  <SharedDoc>false</SharedDoc>
  <HLinks>
    <vt:vector size="18" baseType="variant">
      <vt:variant>
        <vt:i4>6029384</vt:i4>
      </vt:variant>
      <vt:variant>
        <vt:i4>6</vt:i4>
      </vt:variant>
      <vt:variant>
        <vt:i4>0</vt:i4>
      </vt:variant>
      <vt:variant>
        <vt:i4>5</vt:i4>
      </vt:variant>
      <vt:variant>
        <vt:lpwstr>https://zakon.rada.gov.ua/laws/show/v003p710-13</vt:lpwstr>
      </vt:variant>
      <vt:variant>
        <vt:lpwstr>n22</vt:lpwstr>
      </vt:variant>
      <vt:variant>
        <vt:i4>6029384</vt:i4>
      </vt:variant>
      <vt:variant>
        <vt:i4>3</vt:i4>
      </vt:variant>
      <vt:variant>
        <vt:i4>0</vt:i4>
      </vt:variant>
      <vt:variant>
        <vt:i4>5</vt:i4>
      </vt:variant>
      <vt:variant>
        <vt:lpwstr>https://zakon.rada.gov.ua/laws/show/v003p710-13</vt:lpwstr>
      </vt:variant>
      <vt:variant>
        <vt:lpwstr>n21</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Доповідь судді Ю</dc:title>
  <dc:subject/>
  <dc:creator>berestova</dc:creator>
  <cp:keywords/>
  <dc:description/>
  <cp:lastModifiedBy>Віктор В. Чередниченко</cp:lastModifiedBy>
  <cp:revision>2</cp:revision>
  <cp:lastPrinted>2022-11-17T13:04:00Z</cp:lastPrinted>
  <dcterms:created xsi:type="dcterms:W3CDTF">2023-08-28T10:46:00Z</dcterms:created>
  <dcterms:modified xsi:type="dcterms:W3CDTF">2023-08-28T10:46:00Z</dcterms:modified>
</cp:coreProperties>
</file>