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C4" w:rsidRDefault="002337C4" w:rsidP="002337C4">
      <w:pPr>
        <w:autoSpaceDE w:val="0"/>
        <w:autoSpaceDN w:val="0"/>
        <w:adjustRightInd w:val="0"/>
        <w:jc w:val="both"/>
        <w:rPr>
          <w:rFonts w:ascii="Times New Roman" w:hAnsi="Times New Roman"/>
          <w:b/>
          <w:sz w:val="28"/>
          <w:szCs w:val="28"/>
        </w:rPr>
      </w:pPr>
    </w:p>
    <w:p w:rsidR="002337C4" w:rsidRDefault="002337C4" w:rsidP="002337C4">
      <w:pPr>
        <w:autoSpaceDE w:val="0"/>
        <w:autoSpaceDN w:val="0"/>
        <w:adjustRightInd w:val="0"/>
        <w:jc w:val="both"/>
        <w:rPr>
          <w:rFonts w:ascii="Times New Roman" w:hAnsi="Times New Roman"/>
          <w:b/>
          <w:sz w:val="28"/>
          <w:szCs w:val="28"/>
        </w:rPr>
      </w:pPr>
    </w:p>
    <w:p w:rsidR="002337C4" w:rsidRDefault="002337C4" w:rsidP="002337C4">
      <w:pPr>
        <w:autoSpaceDE w:val="0"/>
        <w:autoSpaceDN w:val="0"/>
        <w:adjustRightInd w:val="0"/>
        <w:jc w:val="both"/>
        <w:rPr>
          <w:rFonts w:ascii="Times New Roman" w:hAnsi="Times New Roman"/>
          <w:b/>
          <w:sz w:val="28"/>
          <w:szCs w:val="28"/>
        </w:rPr>
      </w:pPr>
    </w:p>
    <w:p w:rsidR="002337C4" w:rsidRDefault="002337C4" w:rsidP="002337C4">
      <w:pPr>
        <w:autoSpaceDE w:val="0"/>
        <w:autoSpaceDN w:val="0"/>
        <w:adjustRightInd w:val="0"/>
        <w:jc w:val="both"/>
        <w:rPr>
          <w:rFonts w:ascii="Times New Roman" w:hAnsi="Times New Roman"/>
          <w:b/>
          <w:sz w:val="28"/>
          <w:szCs w:val="28"/>
        </w:rPr>
      </w:pPr>
    </w:p>
    <w:p w:rsidR="002337C4" w:rsidRDefault="002337C4" w:rsidP="002337C4">
      <w:pPr>
        <w:autoSpaceDE w:val="0"/>
        <w:autoSpaceDN w:val="0"/>
        <w:adjustRightInd w:val="0"/>
        <w:jc w:val="both"/>
        <w:rPr>
          <w:rFonts w:ascii="Times New Roman" w:hAnsi="Times New Roman"/>
          <w:b/>
          <w:sz w:val="28"/>
          <w:szCs w:val="28"/>
        </w:rPr>
      </w:pPr>
    </w:p>
    <w:p w:rsidR="002337C4" w:rsidRDefault="002337C4" w:rsidP="002337C4">
      <w:pPr>
        <w:autoSpaceDE w:val="0"/>
        <w:autoSpaceDN w:val="0"/>
        <w:adjustRightInd w:val="0"/>
        <w:jc w:val="both"/>
        <w:rPr>
          <w:rFonts w:ascii="Times New Roman" w:hAnsi="Times New Roman"/>
          <w:b/>
          <w:sz w:val="28"/>
          <w:szCs w:val="28"/>
        </w:rPr>
      </w:pPr>
    </w:p>
    <w:p w:rsidR="002337C4" w:rsidRDefault="002337C4" w:rsidP="002337C4">
      <w:pPr>
        <w:autoSpaceDE w:val="0"/>
        <w:autoSpaceDN w:val="0"/>
        <w:adjustRightInd w:val="0"/>
        <w:jc w:val="both"/>
        <w:rPr>
          <w:rFonts w:ascii="Times New Roman" w:hAnsi="Times New Roman"/>
          <w:b/>
          <w:sz w:val="28"/>
          <w:szCs w:val="28"/>
        </w:rPr>
      </w:pPr>
    </w:p>
    <w:p w:rsidR="00396DA0" w:rsidRPr="002337C4" w:rsidRDefault="00396DA0" w:rsidP="002337C4">
      <w:pPr>
        <w:tabs>
          <w:tab w:val="center" w:pos="4820"/>
        </w:tabs>
        <w:autoSpaceDE w:val="0"/>
        <w:autoSpaceDN w:val="0"/>
        <w:adjustRightInd w:val="0"/>
        <w:jc w:val="both"/>
        <w:rPr>
          <w:rFonts w:ascii="Times New Roman" w:hAnsi="Times New Roman"/>
          <w:b/>
          <w:i/>
          <w:sz w:val="28"/>
          <w:szCs w:val="28"/>
        </w:rPr>
      </w:pPr>
      <w:r w:rsidRPr="002337C4">
        <w:rPr>
          <w:rFonts w:ascii="Times New Roman" w:hAnsi="Times New Roman"/>
          <w:b/>
          <w:sz w:val="28"/>
          <w:szCs w:val="28"/>
        </w:rPr>
        <w:t xml:space="preserve">про відмову у відкритті конституційного провадження у справі за конституційним поданням 51 народного депутата України щодо відповідності Конституції України (конституційності) окремих приписів </w:t>
      </w:r>
      <w:r w:rsidRPr="002337C4">
        <w:rPr>
          <w:rFonts w:ascii="Times New Roman" w:hAnsi="Times New Roman"/>
          <w:b/>
          <w:sz w:val="28"/>
          <w:szCs w:val="28"/>
        </w:rPr>
        <w:br/>
      </w:r>
      <w:r w:rsidRPr="002337C4">
        <w:rPr>
          <w:rFonts w:ascii="Times New Roman" w:hAnsi="Times New Roman"/>
          <w:b/>
          <w:sz w:val="28"/>
          <w:szCs w:val="28"/>
        </w:rPr>
        <w:tab/>
        <w:t xml:space="preserve">Закону України </w:t>
      </w:r>
      <w:r w:rsidRPr="002337C4">
        <w:rPr>
          <w:rFonts w:ascii="Times New Roman" w:hAnsi="Times New Roman"/>
          <w:b/>
          <w:bCs/>
          <w:iCs/>
          <w:sz w:val="28"/>
          <w:szCs w:val="28"/>
        </w:rPr>
        <w:t>„</w:t>
      </w:r>
      <w:r w:rsidRPr="002337C4">
        <w:rPr>
          <w:rFonts w:ascii="Times New Roman" w:hAnsi="Times New Roman"/>
          <w:b/>
          <w:sz w:val="28"/>
          <w:szCs w:val="28"/>
        </w:rPr>
        <w:t>Про дерадянізацію законодавства України</w:t>
      </w:r>
      <w:r w:rsidRPr="002337C4">
        <w:rPr>
          <w:rFonts w:ascii="Times New Roman" w:hAnsi="Times New Roman"/>
          <w:b/>
          <w:bCs/>
          <w:iCs/>
          <w:sz w:val="28"/>
          <w:szCs w:val="28"/>
        </w:rPr>
        <w:t>“</w:t>
      </w:r>
    </w:p>
    <w:p w:rsidR="002337C4" w:rsidRPr="002337C4" w:rsidRDefault="002337C4" w:rsidP="007D61BF">
      <w:pPr>
        <w:autoSpaceDE w:val="0"/>
        <w:autoSpaceDN w:val="0"/>
        <w:adjustRightInd w:val="0"/>
        <w:spacing w:line="360" w:lineRule="auto"/>
        <w:jc w:val="both"/>
        <w:rPr>
          <w:rFonts w:ascii="Times New Roman" w:hAnsi="Times New Roman"/>
          <w:color w:val="auto"/>
          <w:sz w:val="28"/>
          <w:szCs w:val="28"/>
        </w:rPr>
      </w:pPr>
    </w:p>
    <w:p w:rsidR="004977C5" w:rsidRPr="002337C4" w:rsidRDefault="004977C5" w:rsidP="002337C4">
      <w:pPr>
        <w:tabs>
          <w:tab w:val="right" w:pos="9638"/>
        </w:tabs>
        <w:autoSpaceDE w:val="0"/>
        <w:autoSpaceDN w:val="0"/>
        <w:adjustRightInd w:val="0"/>
        <w:jc w:val="both"/>
        <w:rPr>
          <w:rFonts w:ascii="Times New Roman" w:hAnsi="Times New Roman"/>
          <w:color w:val="auto"/>
          <w:sz w:val="28"/>
          <w:szCs w:val="28"/>
        </w:rPr>
      </w:pPr>
      <w:r w:rsidRPr="002337C4">
        <w:rPr>
          <w:rFonts w:ascii="Times New Roman" w:hAnsi="Times New Roman"/>
          <w:color w:val="auto"/>
          <w:sz w:val="28"/>
          <w:szCs w:val="28"/>
        </w:rPr>
        <w:t>К и ї в</w:t>
      </w:r>
      <w:r w:rsidRPr="002337C4">
        <w:rPr>
          <w:rFonts w:ascii="Times New Roman" w:hAnsi="Times New Roman"/>
          <w:color w:val="auto"/>
          <w:sz w:val="28"/>
          <w:szCs w:val="28"/>
        </w:rPr>
        <w:tab/>
        <w:t>Справа № 1-1</w:t>
      </w:r>
      <w:r w:rsidRPr="002337C4">
        <w:rPr>
          <w:rFonts w:ascii="Times New Roman" w:hAnsi="Times New Roman"/>
          <w:color w:val="auto"/>
          <w:sz w:val="28"/>
          <w:szCs w:val="28"/>
          <w:lang w:val="ru-RU"/>
        </w:rPr>
        <w:t>/2025</w:t>
      </w:r>
      <w:r w:rsidRPr="002337C4">
        <w:rPr>
          <w:rFonts w:ascii="Times New Roman" w:hAnsi="Times New Roman"/>
          <w:color w:val="auto"/>
          <w:sz w:val="28"/>
          <w:szCs w:val="28"/>
        </w:rPr>
        <w:t>(34/25</w:t>
      </w:r>
      <w:r w:rsidRPr="002337C4">
        <w:rPr>
          <w:rFonts w:ascii="Times New Roman" w:hAnsi="Times New Roman"/>
          <w:color w:val="auto"/>
          <w:sz w:val="28"/>
          <w:szCs w:val="28"/>
          <w:lang w:val="ru-RU"/>
        </w:rPr>
        <w:t>)</w:t>
      </w:r>
    </w:p>
    <w:p w:rsidR="00BB79C5" w:rsidRPr="002337C4" w:rsidRDefault="002337C4" w:rsidP="002337C4">
      <w:pPr>
        <w:autoSpaceDE w:val="0"/>
        <w:autoSpaceDN w:val="0"/>
        <w:adjustRightInd w:val="0"/>
        <w:jc w:val="both"/>
        <w:rPr>
          <w:rFonts w:ascii="Times New Roman" w:hAnsi="Times New Roman"/>
          <w:color w:val="auto"/>
          <w:sz w:val="28"/>
          <w:szCs w:val="28"/>
          <w:lang w:val="ru-RU"/>
        </w:rPr>
      </w:pPr>
      <w:r>
        <w:rPr>
          <w:rFonts w:ascii="Times New Roman" w:hAnsi="Times New Roman"/>
          <w:sz w:val="28"/>
          <w:szCs w:val="28"/>
        </w:rPr>
        <w:t>7</w:t>
      </w:r>
      <w:r w:rsidR="00AB4218" w:rsidRPr="002337C4">
        <w:rPr>
          <w:rFonts w:ascii="Times New Roman" w:hAnsi="Times New Roman"/>
          <w:sz w:val="28"/>
          <w:szCs w:val="28"/>
        </w:rPr>
        <w:t xml:space="preserve"> </w:t>
      </w:r>
      <w:r>
        <w:rPr>
          <w:rFonts w:ascii="Times New Roman" w:hAnsi="Times New Roman"/>
          <w:sz w:val="28"/>
          <w:szCs w:val="28"/>
        </w:rPr>
        <w:t>жовтня</w:t>
      </w:r>
      <w:r w:rsidR="005C54F6" w:rsidRPr="002337C4">
        <w:rPr>
          <w:rFonts w:ascii="Times New Roman" w:hAnsi="Times New Roman"/>
          <w:sz w:val="28"/>
          <w:szCs w:val="28"/>
        </w:rPr>
        <w:t xml:space="preserve"> 20</w:t>
      </w:r>
      <w:r w:rsidR="004977C5" w:rsidRPr="002337C4">
        <w:rPr>
          <w:rFonts w:ascii="Times New Roman" w:hAnsi="Times New Roman"/>
          <w:sz w:val="28"/>
          <w:szCs w:val="28"/>
        </w:rPr>
        <w:t>25</w:t>
      </w:r>
      <w:r w:rsidR="00BB79C5" w:rsidRPr="002337C4">
        <w:rPr>
          <w:rFonts w:ascii="Times New Roman" w:hAnsi="Times New Roman"/>
          <w:sz w:val="28"/>
          <w:szCs w:val="28"/>
        </w:rPr>
        <w:t xml:space="preserve"> року</w:t>
      </w:r>
    </w:p>
    <w:p w:rsidR="00BB79C5" w:rsidRPr="002337C4" w:rsidRDefault="006E0AC7" w:rsidP="002337C4">
      <w:pPr>
        <w:autoSpaceDE w:val="0"/>
        <w:autoSpaceDN w:val="0"/>
        <w:adjustRightInd w:val="0"/>
        <w:jc w:val="both"/>
        <w:rPr>
          <w:rFonts w:ascii="Times New Roman" w:hAnsi="Times New Roman"/>
          <w:color w:val="auto"/>
          <w:sz w:val="28"/>
          <w:szCs w:val="28"/>
        </w:rPr>
      </w:pPr>
      <w:r w:rsidRPr="002337C4">
        <w:rPr>
          <w:rFonts w:ascii="Times New Roman" w:hAnsi="Times New Roman"/>
          <w:color w:val="auto"/>
          <w:sz w:val="28"/>
          <w:szCs w:val="28"/>
        </w:rPr>
        <w:t>№</w:t>
      </w:r>
      <w:r w:rsidR="002337C4">
        <w:rPr>
          <w:rFonts w:ascii="Times New Roman" w:hAnsi="Times New Roman"/>
          <w:color w:val="auto"/>
          <w:sz w:val="28"/>
          <w:szCs w:val="28"/>
        </w:rPr>
        <w:t xml:space="preserve"> </w:t>
      </w:r>
      <w:r w:rsidR="00C3351F">
        <w:rPr>
          <w:rFonts w:ascii="Times New Roman" w:hAnsi="Times New Roman"/>
          <w:color w:val="auto"/>
          <w:sz w:val="28"/>
          <w:szCs w:val="28"/>
        </w:rPr>
        <w:t>99</w:t>
      </w:r>
      <w:r w:rsidR="008B684E" w:rsidRPr="002337C4">
        <w:rPr>
          <w:rFonts w:ascii="Times New Roman" w:hAnsi="Times New Roman"/>
          <w:color w:val="auto"/>
          <w:sz w:val="28"/>
          <w:szCs w:val="28"/>
        </w:rPr>
        <w:t>-у</w:t>
      </w:r>
      <w:r w:rsidR="004977C5" w:rsidRPr="002337C4">
        <w:rPr>
          <w:rFonts w:ascii="Times New Roman" w:hAnsi="Times New Roman"/>
          <w:color w:val="auto"/>
          <w:sz w:val="28"/>
          <w:szCs w:val="28"/>
        </w:rPr>
        <w:t>/2025</w:t>
      </w:r>
      <w:r w:rsidR="00BB79C5" w:rsidRPr="002337C4">
        <w:rPr>
          <w:rFonts w:ascii="Times New Roman" w:hAnsi="Times New Roman"/>
          <w:color w:val="auto"/>
          <w:sz w:val="28"/>
          <w:szCs w:val="28"/>
        </w:rPr>
        <w:t xml:space="preserve"> </w:t>
      </w:r>
    </w:p>
    <w:p w:rsidR="002337C4" w:rsidRPr="002337C4" w:rsidRDefault="002337C4" w:rsidP="007D61BF">
      <w:pPr>
        <w:spacing w:line="360" w:lineRule="auto"/>
        <w:jc w:val="both"/>
        <w:rPr>
          <w:rFonts w:ascii="Times New Roman" w:hAnsi="Times New Roman"/>
          <w:color w:val="auto"/>
          <w:sz w:val="28"/>
          <w:szCs w:val="28"/>
        </w:rPr>
      </w:pP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Велика палата Конституційного Суду України у складі суддів:</w:t>
      </w:r>
    </w:p>
    <w:p w:rsidR="004977C5" w:rsidRPr="002337C4" w:rsidRDefault="004977C5" w:rsidP="002337C4">
      <w:pPr>
        <w:autoSpaceDE w:val="0"/>
        <w:autoSpaceDN w:val="0"/>
        <w:adjustRightInd w:val="0"/>
        <w:ind w:firstLine="567"/>
        <w:jc w:val="both"/>
        <w:rPr>
          <w:rFonts w:ascii="Times New Roman" w:hAnsi="Times New Roman"/>
          <w:sz w:val="28"/>
          <w:szCs w:val="28"/>
        </w:rPr>
      </w:pP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 xml:space="preserve">Петришина Олександра Віталійовича – головуючого, </w:t>
      </w:r>
    </w:p>
    <w:p w:rsidR="007D61BF" w:rsidRDefault="007D61BF" w:rsidP="007D61BF">
      <w:pPr>
        <w:ind w:firstLine="567"/>
        <w:jc w:val="both"/>
        <w:rPr>
          <w:sz w:val="28"/>
          <w:szCs w:val="28"/>
        </w:rPr>
      </w:pPr>
      <w:r>
        <w:rPr>
          <w:sz w:val="28"/>
          <w:szCs w:val="28"/>
        </w:rPr>
        <w:t>Барабаша Юрія Григоровича,</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Водяннікова Олександра Юрійовича,</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Городовенка Віктора Валентиновича,</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Грищук Оксани Вікторівни,</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Кичуна Віктора Івановича,</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Лемака Василя Васильовича – доповідача,</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Олійник Алли Сергіївни,</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Первомайського Олега Олексійовича,</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Різника Сергія Васильовича,</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Совгирі Ольги Володимирівни,</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Філюка Петра Тодосьовича,</w:t>
      </w:r>
    </w:p>
    <w:p w:rsidR="004977C5" w:rsidRPr="002337C4" w:rsidRDefault="004977C5" w:rsidP="002337C4">
      <w:pPr>
        <w:autoSpaceDE w:val="0"/>
        <w:autoSpaceDN w:val="0"/>
        <w:adjustRightInd w:val="0"/>
        <w:ind w:firstLine="567"/>
        <w:jc w:val="both"/>
        <w:rPr>
          <w:rFonts w:ascii="Times New Roman" w:hAnsi="Times New Roman"/>
          <w:sz w:val="28"/>
          <w:szCs w:val="28"/>
        </w:rPr>
      </w:pPr>
      <w:r w:rsidRPr="002337C4">
        <w:rPr>
          <w:rFonts w:ascii="Times New Roman" w:hAnsi="Times New Roman"/>
          <w:sz w:val="28"/>
          <w:szCs w:val="28"/>
        </w:rPr>
        <w:t>Юровської Галини Валентинівни,</w:t>
      </w:r>
    </w:p>
    <w:p w:rsidR="003D7E98" w:rsidRPr="002337C4" w:rsidRDefault="003D7E98" w:rsidP="002337C4">
      <w:pPr>
        <w:autoSpaceDE w:val="0"/>
        <w:autoSpaceDN w:val="0"/>
        <w:adjustRightInd w:val="0"/>
        <w:ind w:firstLine="567"/>
        <w:jc w:val="both"/>
        <w:rPr>
          <w:rFonts w:ascii="Times New Roman" w:hAnsi="Times New Roman"/>
          <w:color w:val="auto"/>
          <w:sz w:val="28"/>
          <w:szCs w:val="28"/>
        </w:rPr>
      </w:pPr>
    </w:p>
    <w:p w:rsidR="004977C5" w:rsidRPr="002337C4" w:rsidRDefault="00F17DA9" w:rsidP="002337C4">
      <w:pPr>
        <w:spacing w:line="360" w:lineRule="auto"/>
        <w:ind w:firstLine="567"/>
        <w:jc w:val="both"/>
        <w:rPr>
          <w:rFonts w:ascii="Times New Roman" w:hAnsi="Times New Roman"/>
          <w:i/>
          <w:iCs/>
          <w:sz w:val="28"/>
          <w:szCs w:val="28"/>
        </w:rPr>
      </w:pPr>
      <w:r w:rsidRPr="002337C4">
        <w:rPr>
          <w:rFonts w:ascii="Times New Roman" w:hAnsi="Times New Roman"/>
          <w:color w:val="auto"/>
          <w:sz w:val="28"/>
          <w:szCs w:val="28"/>
        </w:rPr>
        <w:t xml:space="preserve">розглянула на засіданні питання про відкриття конституційного провадження у справі за конституційним поданням </w:t>
      </w:r>
      <w:r w:rsidR="004977C5" w:rsidRPr="002337C4">
        <w:rPr>
          <w:rFonts w:ascii="Times New Roman" w:hAnsi="Times New Roman"/>
          <w:iCs/>
          <w:sz w:val="28"/>
          <w:szCs w:val="28"/>
        </w:rPr>
        <w:t xml:space="preserve">51 народного депутата України щодо відповідності Конституції України (конституційності) окремих приписів Закону України „Про дерадянізацію законодавства України“ від </w:t>
      </w:r>
      <w:r w:rsidR="004977C5" w:rsidRPr="002337C4">
        <w:rPr>
          <w:rFonts w:ascii="Times New Roman" w:hAnsi="Times New Roman"/>
          <w:iCs/>
          <w:sz w:val="28"/>
          <w:szCs w:val="28"/>
        </w:rPr>
        <w:br/>
        <w:t>21 квітня 2022 року № 2215–ІХ</w:t>
      </w:r>
      <w:r w:rsidR="004977C5" w:rsidRPr="002337C4">
        <w:rPr>
          <w:rFonts w:ascii="Times New Roman" w:hAnsi="Times New Roman"/>
          <w:bCs/>
          <w:iCs/>
          <w:sz w:val="28"/>
          <w:szCs w:val="28"/>
          <w:lang w:bidi="uk-UA"/>
        </w:rPr>
        <w:t xml:space="preserve"> (Голос України, 2022 р., 6 травня).</w:t>
      </w:r>
    </w:p>
    <w:p w:rsidR="00B35843" w:rsidRPr="002337C4" w:rsidRDefault="00B35843" w:rsidP="002337C4">
      <w:pPr>
        <w:spacing w:line="360" w:lineRule="auto"/>
        <w:ind w:firstLine="567"/>
        <w:jc w:val="both"/>
        <w:rPr>
          <w:rFonts w:ascii="Times New Roman" w:hAnsi="Times New Roman"/>
          <w:sz w:val="28"/>
          <w:szCs w:val="28"/>
        </w:rPr>
      </w:pPr>
    </w:p>
    <w:p w:rsidR="004977C5" w:rsidRDefault="004977C5" w:rsidP="002337C4">
      <w:pPr>
        <w:spacing w:line="360" w:lineRule="auto"/>
        <w:ind w:firstLine="567"/>
        <w:jc w:val="both"/>
        <w:rPr>
          <w:rFonts w:ascii="Times New Roman" w:eastAsia="Calibri" w:hAnsi="Times New Roman"/>
          <w:color w:val="auto"/>
          <w:sz w:val="28"/>
          <w:szCs w:val="28"/>
          <w:lang w:eastAsia="en-US"/>
        </w:rPr>
      </w:pPr>
      <w:r w:rsidRPr="002337C4">
        <w:rPr>
          <w:rFonts w:ascii="Times New Roman" w:eastAsia="Calibri" w:hAnsi="Times New Roman"/>
          <w:color w:val="auto"/>
          <w:sz w:val="28"/>
          <w:szCs w:val="28"/>
          <w:lang w:eastAsia="en-US"/>
        </w:rPr>
        <w:t>Заслухавши суддю-доповідача Лемака В.В., Велика палата Конституційного Суду України</w:t>
      </w:r>
    </w:p>
    <w:p w:rsidR="004977C5" w:rsidRPr="002337C4" w:rsidRDefault="004977C5" w:rsidP="002337C4">
      <w:pPr>
        <w:spacing w:line="360" w:lineRule="auto"/>
        <w:jc w:val="center"/>
        <w:rPr>
          <w:rFonts w:ascii="Times New Roman" w:eastAsia="Calibri" w:hAnsi="Times New Roman"/>
          <w:b/>
          <w:color w:val="auto"/>
          <w:sz w:val="28"/>
          <w:szCs w:val="28"/>
          <w:lang w:eastAsia="en-US"/>
        </w:rPr>
      </w:pPr>
      <w:r w:rsidRPr="002337C4">
        <w:rPr>
          <w:rFonts w:ascii="Times New Roman" w:eastAsia="Calibri" w:hAnsi="Times New Roman"/>
          <w:b/>
          <w:color w:val="auto"/>
          <w:sz w:val="28"/>
          <w:szCs w:val="28"/>
          <w:lang w:eastAsia="en-US"/>
        </w:rPr>
        <w:lastRenderedPageBreak/>
        <w:t>у с т а н о в и л а:</w:t>
      </w:r>
    </w:p>
    <w:p w:rsidR="00BB79C5" w:rsidRPr="002337C4" w:rsidRDefault="00BB79C5" w:rsidP="002337C4">
      <w:pPr>
        <w:spacing w:line="360" w:lineRule="auto"/>
        <w:ind w:firstLine="567"/>
        <w:rPr>
          <w:rFonts w:ascii="Times New Roman" w:hAnsi="Times New Roman"/>
          <w:sz w:val="28"/>
          <w:szCs w:val="28"/>
        </w:rPr>
      </w:pPr>
    </w:p>
    <w:p w:rsidR="004977C5" w:rsidRPr="002337C4" w:rsidRDefault="004977C5"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 xml:space="preserve">1. До Конституційного Суду України звернувся 51 народний депутат України з клопотанням розглянути питання щодо відповідності Конституції України (конституційності) окремих приписів Закону України </w:t>
      </w:r>
      <w:r w:rsidRPr="002337C4">
        <w:rPr>
          <w:rFonts w:ascii="Times New Roman" w:hAnsi="Times New Roman"/>
          <w:bCs/>
          <w:iCs/>
          <w:sz w:val="28"/>
          <w:szCs w:val="28"/>
        </w:rPr>
        <w:t>„</w:t>
      </w:r>
      <w:r w:rsidRPr="002337C4">
        <w:rPr>
          <w:rFonts w:ascii="Times New Roman" w:hAnsi="Times New Roman"/>
          <w:sz w:val="28"/>
          <w:szCs w:val="28"/>
        </w:rPr>
        <w:t>Про дерадянізацію законодавства України</w:t>
      </w:r>
      <w:r w:rsidRPr="002337C4">
        <w:rPr>
          <w:rFonts w:ascii="Times New Roman" w:hAnsi="Times New Roman"/>
          <w:bCs/>
          <w:iCs/>
          <w:sz w:val="28"/>
          <w:szCs w:val="28"/>
        </w:rPr>
        <w:t>“</w:t>
      </w:r>
      <w:r w:rsidRPr="002337C4">
        <w:rPr>
          <w:rFonts w:ascii="Times New Roman" w:hAnsi="Times New Roman"/>
          <w:sz w:val="28"/>
          <w:szCs w:val="28"/>
        </w:rPr>
        <w:t xml:space="preserve"> від 21 квітня 2022 року</w:t>
      </w:r>
      <w:r w:rsidR="002337C4">
        <w:rPr>
          <w:rFonts w:ascii="Times New Roman" w:hAnsi="Times New Roman"/>
          <w:sz w:val="28"/>
          <w:szCs w:val="28"/>
        </w:rPr>
        <w:t xml:space="preserve"> </w:t>
      </w:r>
      <w:r w:rsidRPr="002337C4">
        <w:rPr>
          <w:rFonts w:ascii="Times New Roman" w:hAnsi="Times New Roman"/>
          <w:sz w:val="28"/>
          <w:szCs w:val="28"/>
        </w:rPr>
        <w:t>№ 2215–ІХ</w:t>
      </w:r>
      <w:r w:rsidR="002337C4">
        <w:rPr>
          <w:rFonts w:ascii="Times New Roman" w:hAnsi="Times New Roman"/>
          <w:sz w:val="28"/>
          <w:szCs w:val="28"/>
        </w:rPr>
        <w:br/>
      </w:r>
      <w:r w:rsidRPr="002337C4">
        <w:rPr>
          <w:rFonts w:ascii="Times New Roman" w:hAnsi="Times New Roman"/>
          <w:sz w:val="28"/>
          <w:szCs w:val="28"/>
        </w:rPr>
        <w:t xml:space="preserve">(далі – Закон № 2215), що не застосовуються на території України відповідно до </w:t>
      </w:r>
      <w:r w:rsidRPr="002337C4">
        <w:rPr>
          <w:rFonts w:ascii="Times New Roman" w:hAnsi="Times New Roman"/>
          <w:bCs/>
          <w:sz w:val="28"/>
          <w:szCs w:val="28"/>
        </w:rPr>
        <w:t xml:space="preserve">пункту 1 розділу XV </w:t>
      </w:r>
      <w:r w:rsidRPr="002337C4">
        <w:rPr>
          <w:rFonts w:ascii="Times New Roman" w:hAnsi="Times New Roman"/>
          <w:bCs/>
          <w:iCs/>
          <w:sz w:val="28"/>
          <w:szCs w:val="28"/>
        </w:rPr>
        <w:t>„</w:t>
      </w:r>
      <w:r w:rsidRPr="002337C4">
        <w:rPr>
          <w:rFonts w:ascii="Times New Roman" w:hAnsi="Times New Roman"/>
          <w:bCs/>
          <w:sz w:val="28"/>
          <w:szCs w:val="28"/>
        </w:rPr>
        <w:t>Перехідні положення</w:t>
      </w:r>
      <w:r w:rsidRPr="002337C4">
        <w:rPr>
          <w:rFonts w:ascii="Times New Roman" w:hAnsi="Times New Roman"/>
          <w:bCs/>
          <w:iCs/>
          <w:sz w:val="28"/>
          <w:szCs w:val="28"/>
        </w:rPr>
        <w:t>“</w:t>
      </w:r>
      <w:r w:rsidRPr="002337C4">
        <w:rPr>
          <w:rFonts w:ascii="Times New Roman" w:hAnsi="Times New Roman"/>
          <w:bCs/>
          <w:sz w:val="28"/>
          <w:szCs w:val="28"/>
        </w:rPr>
        <w:t xml:space="preserve"> Конституції України, а саме</w:t>
      </w:r>
      <w:r w:rsidRPr="002337C4">
        <w:rPr>
          <w:rFonts w:ascii="Times New Roman" w:hAnsi="Times New Roman"/>
          <w:sz w:val="28"/>
          <w:szCs w:val="28"/>
        </w:rPr>
        <w:t xml:space="preserve">: </w:t>
      </w:r>
    </w:p>
    <w:p w:rsidR="004977C5" w:rsidRPr="002337C4" w:rsidRDefault="004977C5"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 xml:space="preserve">– «Закон СРСР від 13 грудня 1968 року № 3401–VII „Об утверждении Основ земельного законодательства Союза ССР и союзных республик“ (із наступними змінами)» (пункт 263 Додатка № 1 до Закону № 2215); </w:t>
      </w:r>
    </w:p>
    <w:p w:rsidR="004977C5" w:rsidRPr="002337C4" w:rsidRDefault="004977C5"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 „Основ</w:t>
      </w:r>
      <w:r w:rsidRPr="002337C4">
        <w:rPr>
          <w:rFonts w:ascii="Times New Roman" w:hAnsi="Times New Roman"/>
          <w:sz w:val="28"/>
          <w:szCs w:val="28"/>
          <w:lang w:val="ru-RU"/>
        </w:rPr>
        <w:t>ы</w:t>
      </w:r>
      <w:r w:rsidRPr="002337C4">
        <w:rPr>
          <w:rFonts w:ascii="Times New Roman" w:hAnsi="Times New Roman"/>
          <w:sz w:val="28"/>
          <w:szCs w:val="28"/>
        </w:rPr>
        <w:t xml:space="preserve"> земельного законодательства Союза ССР и союзних республик від 13 грудня 1968 року № 3401–VII (із наступними змінами)“ (пункт 264</w:t>
      </w:r>
      <w:r w:rsidRPr="002337C4">
        <w:rPr>
          <w:rFonts w:ascii="Times New Roman" w:hAnsi="Times New Roman"/>
          <w:sz w:val="28"/>
          <w:szCs w:val="28"/>
        </w:rPr>
        <w:br/>
        <w:t xml:space="preserve">Додатка № 1 до Закону № 2215); </w:t>
      </w:r>
    </w:p>
    <w:p w:rsidR="004977C5" w:rsidRPr="002337C4" w:rsidRDefault="004977C5"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 „Основ</w:t>
      </w:r>
      <w:r w:rsidRPr="002337C4">
        <w:rPr>
          <w:rFonts w:ascii="Times New Roman" w:hAnsi="Times New Roman"/>
          <w:sz w:val="28"/>
          <w:szCs w:val="28"/>
          <w:lang w:val="ru-RU"/>
        </w:rPr>
        <w:t>ы</w:t>
      </w:r>
      <w:r w:rsidRPr="002337C4">
        <w:rPr>
          <w:rFonts w:ascii="Times New Roman" w:hAnsi="Times New Roman"/>
          <w:sz w:val="28"/>
          <w:szCs w:val="28"/>
        </w:rPr>
        <w:t xml:space="preserve"> законодательства СССР и союзних республик о земле“</w:t>
      </w:r>
      <w:r w:rsidRPr="002337C4">
        <w:rPr>
          <w:rFonts w:ascii="Times New Roman" w:hAnsi="Times New Roman"/>
          <w:sz w:val="28"/>
          <w:szCs w:val="28"/>
        </w:rPr>
        <w:br/>
        <w:t>від 28 лютого 1990 року № 1251–І (із наступними змінами)“ (пункт 566</w:t>
      </w:r>
      <w:r w:rsidRPr="002337C4">
        <w:rPr>
          <w:rFonts w:ascii="Times New Roman" w:hAnsi="Times New Roman"/>
          <w:sz w:val="28"/>
          <w:szCs w:val="28"/>
        </w:rPr>
        <w:br/>
        <w:t>Додатка № 1 до Закону № 2215);</w:t>
      </w:r>
    </w:p>
    <w:p w:rsidR="004977C5" w:rsidRPr="002337C4" w:rsidRDefault="004977C5"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 «Постанов</w:t>
      </w:r>
      <w:r w:rsidRPr="002337C4">
        <w:rPr>
          <w:rFonts w:ascii="Times New Roman" w:hAnsi="Times New Roman"/>
          <w:sz w:val="28"/>
          <w:szCs w:val="28"/>
          <w:lang w:val="ru-RU"/>
        </w:rPr>
        <w:t>а</w:t>
      </w:r>
      <w:r w:rsidRPr="002337C4">
        <w:rPr>
          <w:rFonts w:ascii="Times New Roman" w:hAnsi="Times New Roman"/>
          <w:sz w:val="28"/>
          <w:szCs w:val="28"/>
        </w:rPr>
        <w:t xml:space="preserve"> Верховної Ради СРСР „О введении в действие Основ законодательства Союза СССР и союзных республик о земле“» від 28 лютого</w:t>
      </w:r>
      <w:r w:rsidRPr="002337C4">
        <w:rPr>
          <w:rFonts w:ascii="Times New Roman" w:hAnsi="Times New Roman"/>
          <w:sz w:val="28"/>
          <w:szCs w:val="28"/>
        </w:rPr>
        <w:br/>
        <w:t xml:space="preserve">1990 року № 1252–І (пункт 567 Додатка № 1 до Закону № 2215); </w:t>
      </w:r>
    </w:p>
    <w:p w:rsidR="004977C5" w:rsidRPr="002337C4" w:rsidRDefault="004977C5"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 xml:space="preserve">– «Закон Української РСР „Про затвердження Земельного кодексу Української РСР“» від 8 липня 1970 року № 2874–VII (пункт 47 Додатка № 2 до Закону № 2215); </w:t>
      </w:r>
    </w:p>
    <w:p w:rsidR="004977C5" w:rsidRPr="002337C4" w:rsidRDefault="004977C5"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 «Указ Президії Верховної Ради Української РСР „Про порядок введення в дію Земельного кодексу Української РСР“ від 25 грудня 1970 року № 3338–VII (із наступними змінами)» (пункт 50 Додатка № 2 до Закону № 2215);</w:t>
      </w:r>
    </w:p>
    <w:p w:rsidR="004977C5" w:rsidRPr="002337C4" w:rsidRDefault="004977C5"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 «Постанов</w:t>
      </w:r>
      <w:r w:rsidRPr="002337C4">
        <w:rPr>
          <w:rFonts w:ascii="Times New Roman" w:hAnsi="Times New Roman"/>
          <w:sz w:val="28"/>
          <w:szCs w:val="28"/>
          <w:lang w:val="ru-RU"/>
        </w:rPr>
        <w:t>а</w:t>
      </w:r>
      <w:r w:rsidRPr="002337C4">
        <w:rPr>
          <w:rFonts w:ascii="Times New Roman" w:hAnsi="Times New Roman"/>
          <w:sz w:val="28"/>
          <w:szCs w:val="28"/>
        </w:rPr>
        <w:t xml:space="preserve"> Верховної Ради Української РСР „Про порядок введення в дію Земельного кодексу Української РСР“ від 18 грудня 1990 року № 562–ХІІ</w:t>
      </w:r>
      <w:r w:rsidRPr="002337C4">
        <w:rPr>
          <w:rFonts w:ascii="Times New Roman" w:hAnsi="Times New Roman"/>
          <w:sz w:val="28"/>
          <w:szCs w:val="28"/>
        </w:rPr>
        <w:br/>
        <w:t>(із наступними змінами)» (пункт 210 Додатка № 2 до Закону № 2215).</w:t>
      </w:r>
    </w:p>
    <w:p w:rsidR="004977C5" w:rsidRPr="002337C4" w:rsidRDefault="004977C5" w:rsidP="002337C4">
      <w:pPr>
        <w:spacing w:line="360" w:lineRule="auto"/>
        <w:ind w:firstLine="567"/>
        <w:jc w:val="both"/>
        <w:rPr>
          <w:rFonts w:ascii="Times New Roman" w:hAnsi="Times New Roman"/>
          <w:bCs/>
          <w:sz w:val="28"/>
          <w:szCs w:val="28"/>
        </w:rPr>
      </w:pPr>
      <w:r w:rsidRPr="002337C4">
        <w:rPr>
          <w:rFonts w:ascii="Times New Roman" w:hAnsi="Times New Roman"/>
          <w:sz w:val="28"/>
          <w:szCs w:val="28"/>
        </w:rPr>
        <w:lastRenderedPageBreak/>
        <w:t xml:space="preserve">Народні депутати України зазначають, що Закон № 2215, який містить перелік </w:t>
      </w:r>
      <w:r w:rsidRPr="002337C4">
        <w:rPr>
          <w:rFonts w:ascii="Times New Roman" w:hAnsi="Times New Roman"/>
          <w:bCs/>
          <w:sz w:val="28"/>
          <w:szCs w:val="28"/>
        </w:rPr>
        <w:t>актів органів державної влади і органів державного управління</w:t>
      </w:r>
      <w:r w:rsidRPr="002337C4">
        <w:rPr>
          <w:rFonts w:ascii="Times New Roman" w:hAnsi="Times New Roman"/>
          <w:bCs/>
          <w:sz w:val="28"/>
          <w:szCs w:val="28"/>
        </w:rPr>
        <w:br/>
        <w:t>Союзу РСР</w:t>
      </w:r>
      <w:r w:rsidRPr="002337C4">
        <w:rPr>
          <w:rFonts w:ascii="Times New Roman" w:hAnsi="Times New Roman"/>
          <w:sz w:val="28"/>
          <w:szCs w:val="28"/>
        </w:rPr>
        <w:t xml:space="preserve"> та </w:t>
      </w:r>
      <w:r w:rsidRPr="002337C4">
        <w:rPr>
          <w:rFonts w:ascii="Times New Roman" w:hAnsi="Times New Roman"/>
          <w:bCs/>
          <w:sz w:val="28"/>
          <w:szCs w:val="28"/>
        </w:rPr>
        <w:t>Української РСР (Української СРР) (додатки №№ 1, 2 до</w:t>
      </w:r>
      <w:r w:rsidR="002337C4">
        <w:rPr>
          <w:rFonts w:ascii="Times New Roman" w:hAnsi="Times New Roman"/>
          <w:bCs/>
          <w:sz w:val="28"/>
          <w:szCs w:val="28"/>
        </w:rPr>
        <w:br/>
      </w:r>
      <w:r w:rsidRPr="002337C4">
        <w:rPr>
          <w:rFonts w:ascii="Times New Roman" w:hAnsi="Times New Roman"/>
          <w:bCs/>
          <w:sz w:val="28"/>
          <w:szCs w:val="28"/>
        </w:rPr>
        <w:t>Закону № 2215),</w:t>
      </w:r>
      <w:r w:rsidRPr="002337C4">
        <w:rPr>
          <w:rFonts w:ascii="Times New Roman" w:hAnsi="Times New Roman"/>
          <w:sz w:val="28"/>
          <w:szCs w:val="28"/>
        </w:rPr>
        <w:t xml:space="preserve"> зокрема, окремі його акти, </w:t>
      </w:r>
      <w:r w:rsidRPr="002337C4">
        <w:rPr>
          <w:rFonts w:ascii="Times New Roman" w:hAnsi="Times New Roman"/>
          <w:bCs/>
          <w:sz w:val="28"/>
          <w:szCs w:val="28"/>
        </w:rPr>
        <w:t xml:space="preserve">що не застосовуються на території України відповідно </w:t>
      </w:r>
      <w:r w:rsidRPr="002337C4">
        <w:rPr>
          <w:rFonts w:ascii="Times New Roman" w:hAnsi="Times New Roman"/>
          <w:bCs/>
          <w:color w:val="auto"/>
          <w:sz w:val="28"/>
          <w:szCs w:val="28"/>
        </w:rPr>
        <w:t xml:space="preserve">до </w:t>
      </w:r>
      <w:hyperlink r:id="rId7" w:anchor="n4948" w:tgtFrame="_blank" w:history="1">
        <w:r w:rsidRPr="002337C4">
          <w:rPr>
            <w:rStyle w:val="ad"/>
            <w:rFonts w:ascii="Times New Roman" w:hAnsi="Times New Roman"/>
            <w:bCs/>
            <w:color w:val="auto"/>
            <w:sz w:val="28"/>
            <w:szCs w:val="28"/>
            <w:u w:val="none"/>
          </w:rPr>
          <w:t>пункту 1</w:t>
        </w:r>
      </w:hyperlink>
      <w:r w:rsidRPr="002337C4">
        <w:rPr>
          <w:rFonts w:ascii="Times New Roman" w:hAnsi="Times New Roman"/>
          <w:bCs/>
          <w:color w:val="auto"/>
          <w:sz w:val="28"/>
          <w:szCs w:val="28"/>
        </w:rPr>
        <w:t xml:space="preserve"> розділу</w:t>
      </w:r>
      <w:r w:rsidRPr="002337C4">
        <w:rPr>
          <w:rFonts w:ascii="Times New Roman" w:hAnsi="Times New Roman"/>
          <w:bCs/>
          <w:sz w:val="28"/>
          <w:szCs w:val="28"/>
        </w:rPr>
        <w:t xml:space="preserve"> XV „Перехідні положення“ Конституції України, „не відповідають Конституції Україн</w:t>
      </w:r>
      <w:r w:rsidR="00947741" w:rsidRPr="002337C4">
        <w:rPr>
          <w:rFonts w:ascii="Times New Roman" w:hAnsi="Times New Roman"/>
          <w:bCs/>
          <w:sz w:val="28"/>
          <w:szCs w:val="28"/>
        </w:rPr>
        <w:t>и</w:t>
      </w:r>
      <w:r w:rsidRPr="002337C4">
        <w:rPr>
          <w:rFonts w:ascii="Times New Roman" w:hAnsi="Times New Roman"/>
          <w:bCs/>
          <w:sz w:val="28"/>
          <w:szCs w:val="28"/>
        </w:rPr>
        <w:t>, в частині заборони</w:t>
      </w:r>
      <w:r w:rsidRPr="002337C4">
        <w:rPr>
          <w:rFonts w:ascii="Times New Roman" w:hAnsi="Times New Roman"/>
          <w:sz w:val="28"/>
          <w:szCs w:val="28"/>
        </w:rPr>
        <w:t xml:space="preserve"> застосування на території України вказаних нормативно-правових актів</w:t>
      </w:r>
      <w:r w:rsidRPr="002337C4">
        <w:rPr>
          <w:rFonts w:ascii="Times New Roman" w:hAnsi="Times New Roman"/>
          <w:bCs/>
          <w:sz w:val="28"/>
          <w:szCs w:val="28"/>
        </w:rPr>
        <w:t>“, а саме</w:t>
      </w:r>
      <w:r w:rsidR="002337C4">
        <w:rPr>
          <w:rFonts w:ascii="Times New Roman" w:hAnsi="Times New Roman"/>
          <w:bCs/>
          <w:sz w:val="28"/>
          <w:szCs w:val="28"/>
        </w:rPr>
        <w:br/>
      </w:r>
      <w:r w:rsidRPr="002337C4">
        <w:rPr>
          <w:rFonts w:ascii="Times New Roman" w:hAnsi="Times New Roman"/>
          <w:bCs/>
          <w:sz w:val="28"/>
          <w:szCs w:val="28"/>
        </w:rPr>
        <w:t>статтям 13, 14, 22, 41, 55 Конституції України.</w:t>
      </w:r>
    </w:p>
    <w:p w:rsidR="004977C5" w:rsidRPr="002337C4" w:rsidRDefault="004977C5" w:rsidP="002337C4">
      <w:pPr>
        <w:spacing w:line="360" w:lineRule="auto"/>
        <w:ind w:firstLine="567"/>
        <w:jc w:val="both"/>
        <w:rPr>
          <w:rFonts w:ascii="Times New Roman" w:hAnsi="Times New Roman"/>
          <w:bCs/>
          <w:sz w:val="28"/>
          <w:szCs w:val="28"/>
        </w:rPr>
      </w:pPr>
      <w:r w:rsidRPr="002337C4">
        <w:rPr>
          <w:rFonts w:ascii="Times New Roman" w:hAnsi="Times New Roman"/>
          <w:sz w:val="28"/>
          <w:szCs w:val="28"/>
        </w:rPr>
        <w:t xml:space="preserve">Автори клопотання твердять, що окремими актами </w:t>
      </w:r>
      <w:r w:rsidRPr="002337C4">
        <w:rPr>
          <w:rFonts w:ascii="Times New Roman" w:hAnsi="Times New Roman"/>
          <w:bCs/>
          <w:sz w:val="28"/>
          <w:szCs w:val="28"/>
        </w:rPr>
        <w:t>органів державної</w:t>
      </w:r>
      <w:r w:rsidRPr="002337C4">
        <w:rPr>
          <w:rFonts w:ascii="Times New Roman" w:hAnsi="Times New Roman"/>
          <w:bCs/>
          <w:sz w:val="28"/>
          <w:szCs w:val="28"/>
        </w:rPr>
        <w:br/>
        <w:t>влади і органів державного управління Союзу РСР</w:t>
      </w:r>
      <w:r w:rsidRPr="002337C4">
        <w:rPr>
          <w:rFonts w:ascii="Times New Roman" w:hAnsi="Times New Roman"/>
          <w:sz w:val="28"/>
          <w:szCs w:val="28"/>
        </w:rPr>
        <w:t xml:space="preserve"> та </w:t>
      </w:r>
      <w:r w:rsidRPr="002337C4">
        <w:rPr>
          <w:rFonts w:ascii="Times New Roman" w:hAnsi="Times New Roman"/>
          <w:bCs/>
          <w:sz w:val="28"/>
          <w:szCs w:val="28"/>
        </w:rPr>
        <w:t>Української РСР</w:t>
      </w:r>
      <w:r w:rsidRPr="002337C4">
        <w:rPr>
          <w:rFonts w:ascii="Times New Roman" w:hAnsi="Times New Roman"/>
          <w:bCs/>
          <w:sz w:val="28"/>
          <w:szCs w:val="28"/>
        </w:rPr>
        <w:br/>
        <w:t>(Української СРР), визначеними у додатках №№ 1, 2, „фактично започатковано основи теперішнього земельного законодавства“, на їх підставі „здійснено визначені в них процедури та отримано у користування земельні ділянки різного призначення“, а отже, визнання цих актів такими, що не застосовуються на території України, ставить під сумнів легітимність процедур на отримання в користування земельних ділянок та правоустановчих документів.</w:t>
      </w:r>
    </w:p>
    <w:p w:rsidR="004977C5" w:rsidRPr="002337C4" w:rsidRDefault="004977C5" w:rsidP="002337C4">
      <w:pPr>
        <w:ind w:firstLine="567"/>
        <w:jc w:val="both"/>
        <w:rPr>
          <w:rFonts w:ascii="Times New Roman" w:hAnsi="Times New Roman"/>
          <w:sz w:val="28"/>
          <w:szCs w:val="28"/>
        </w:rPr>
      </w:pPr>
    </w:p>
    <w:p w:rsidR="002E3C9D" w:rsidRPr="002337C4" w:rsidRDefault="00584213"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2</w:t>
      </w:r>
      <w:r w:rsidR="00F8691B" w:rsidRPr="002337C4">
        <w:rPr>
          <w:rFonts w:ascii="Times New Roman" w:hAnsi="Times New Roman"/>
          <w:sz w:val="28"/>
          <w:szCs w:val="28"/>
        </w:rPr>
        <w:t xml:space="preserve">. </w:t>
      </w:r>
      <w:r w:rsidRPr="002337C4">
        <w:rPr>
          <w:rFonts w:ascii="Times New Roman" w:hAnsi="Times New Roman"/>
          <w:sz w:val="28"/>
          <w:szCs w:val="28"/>
        </w:rPr>
        <w:t>Велика палата Конституційного Суду України, розглядаючи питання щ</w:t>
      </w:r>
      <w:r w:rsidR="002E3C9D" w:rsidRPr="002337C4">
        <w:rPr>
          <w:rFonts w:ascii="Times New Roman" w:hAnsi="Times New Roman"/>
          <w:sz w:val="28"/>
          <w:szCs w:val="28"/>
        </w:rPr>
        <w:t>одо відкриття конституційного провадження у справі</w:t>
      </w:r>
      <w:r w:rsidRPr="002337C4">
        <w:rPr>
          <w:rFonts w:ascii="Times New Roman" w:hAnsi="Times New Roman"/>
          <w:sz w:val="28"/>
          <w:szCs w:val="28"/>
        </w:rPr>
        <w:t xml:space="preserve"> у зв’язку з постановленням Другою колегією суддів Другого сенату Конституційного Суду України Ухвали від </w:t>
      </w:r>
      <w:r w:rsidR="004977C5" w:rsidRPr="002337C4">
        <w:rPr>
          <w:rFonts w:ascii="Times New Roman" w:hAnsi="Times New Roman"/>
          <w:sz w:val="28"/>
          <w:szCs w:val="28"/>
        </w:rPr>
        <w:t>4</w:t>
      </w:r>
      <w:r w:rsidRPr="002337C4">
        <w:rPr>
          <w:rFonts w:ascii="Times New Roman" w:hAnsi="Times New Roman"/>
          <w:sz w:val="28"/>
          <w:szCs w:val="28"/>
        </w:rPr>
        <w:t xml:space="preserve"> </w:t>
      </w:r>
      <w:r w:rsidR="004977C5" w:rsidRPr="002337C4">
        <w:rPr>
          <w:rFonts w:ascii="Times New Roman" w:hAnsi="Times New Roman"/>
          <w:sz w:val="28"/>
          <w:szCs w:val="28"/>
        </w:rPr>
        <w:t>вересн</w:t>
      </w:r>
      <w:r w:rsidRPr="002337C4">
        <w:rPr>
          <w:rFonts w:ascii="Times New Roman" w:hAnsi="Times New Roman"/>
          <w:sz w:val="28"/>
          <w:szCs w:val="28"/>
        </w:rPr>
        <w:t>я 2019 року про відмову у відкритті конституційного провадження у цій справі</w:t>
      </w:r>
      <w:r w:rsidR="002E3C9D" w:rsidRPr="002337C4">
        <w:rPr>
          <w:rFonts w:ascii="Times New Roman" w:hAnsi="Times New Roman"/>
          <w:sz w:val="28"/>
          <w:szCs w:val="28"/>
        </w:rPr>
        <w:t xml:space="preserve"> </w:t>
      </w:r>
      <w:r w:rsidRPr="002337C4">
        <w:rPr>
          <w:rFonts w:ascii="Times New Roman" w:hAnsi="Times New Roman"/>
          <w:sz w:val="28"/>
          <w:szCs w:val="28"/>
        </w:rPr>
        <w:t xml:space="preserve">на підставі пункту 3 статті 62 Закону України „Про Конституційний Суд України“, </w:t>
      </w:r>
      <w:r w:rsidR="002E3C9D" w:rsidRPr="002337C4">
        <w:rPr>
          <w:rFonts w:ascii="Times New Roman" w:hAnsi="Times New Roman"/>
          <w:sz w:val="28"/>
          <w:szCs w:val="28"/>
        </w:rPr>
        <w:t xml:space="preserve">виходить </w:t>
      </w:r>
      <w:r w:rsidR="00947741" w:rsidRPr="002337C4">
        <w:rPr>
          <w:rFonts w:ascii="Times New Roman" w:hAnsi="Times New Roman"/>
          <w:sz w:val="28"/>
          <w:szCs w:val="28"/>
        </w:rPr>
        <w:t>і</w:t>
      </w:r>
      <w:r w:rsidR="002E3C9D" w:rsidRPr="002337C4">
        <w:rPr>
          <w:rFonts w:ascii="Times New Roman" w:hAnsi="Times New Roman"/>
          <w:sz w:val="28"/>
          <w:szCs w:val="28"/>
        </w:rPr>
        <w:t>з такого.</w:t>
      </w:r>
    </w:p>
    <w:p w:rsidR="002337C4" w:rsidRDefault="002337C4" w:rsidP="002337C4">
      <w:pPr>
        <w:ind w:firstLine="567"/>
        <w:jc w:val="both"/>
        <w:rPr>
          <w:rFonts w:ascii="Times New Roman" w:hAnsi="Times New Roman"/>
          <w:sz w:val="28"/>
          <w:szCs w:val="28"/>
        </w:rPr>
      </w:pPr>
    </w:p>
    <w:p w:rsidR="001714F4" w:rsidRPr="002337C4" w:rsidRDefault="001714F4"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2.1. Відповідно до частини третьої статті 51 Закону України „Про Конституційний Суд України“ у конституційному поданні щодо конституційності акта (його окремих приписів) зазначають акт (його конкретні приписи), який треба перевірити на відповідність Конституції України, та конкретні приписи Конституції України, на відповідність яким слід перевірити акт (його окремі приписи), а також обґрунтування тверджень щодо неконституційності акта (його окремих приписів).</w:t>
      </w:r>
    </w:p>
    <w:p w:rsidR="001714F4" w:rsidRPr="002337C4" w:rsidRDefault="001714F4" w:rsidP="002337C4">
      <w:pPr>
        <w:spacing w:line="360" w:lineRule="auto"/>
        <w:ind w:firstLine="567"/>
        <w:jc w:val="both"/>
        <w:rPr>
          <w:rFonts w:ascii="Times New Roman" w:hAnsi="Times New Roman"/>
          <w:sz w:val="28"/>
          <w:szCs w:val="28"/>
          <w:lang w:bidi="uk-UA"/>
        </w:rPr>
      </w:pPr>
      <w:r w:rsidRPr="002337C4">
        <w:rPr>
          <w:rFonts w:ascii="Times New Roman" w:hAnsi="Times New Roman"/>
          <w:sz w:val="28"/>
          <w:szCs w:val="28"/>
        </w:rPr>
        <w:lastRenderedPageBreak/>
        <w:t xml:space="preserve">2.2. Автори клопотання, обґрунтовуючи неконституційність оспорюваних приписів Закону № 2215, </w:t>
      </w:r>
      <w:r w:rsidRPr="002337C4">
        <w:rPr>
          <w:rFonts w:ascii="Times New Roman" w:hAnsi="Times New Roman"/>
          <w:sz w:val="28"/>
          <w:szCs w:val="28"/>
          <w:lang w:bidi="uk-UA"/>
        </w:rPr>
        <w:t>що ними встановлено незастосування на території України актів органів державної влади і органів державного управління</w:t>
      </w:r>
      <w:r w:rsidRPr="002337C4">
        <w:rPr>
          <w:rFonts w:ascii="Times New Roman" w:hAnsi="Times New Roman"/>
          <w:sz w:val="28"/>
          <w:szCs w:val="28"/>
          <w:lang w:bidi="uk-UA"/>
        </w:rPr>
        <w:br/>
      </w:r>
      <w:r w:rsidRPr="002337C4">
        <w:rPr>
          <w:rFonts w:ascii="Times New Roman" w:hAnsi="Times New Roman"/>
          <w:bCs/>
          <w:sz w:val="28"/>
          <w:szCs w:val="28"/>
          <w:lang w:bidi="uk-UA"/>
        </w:rPr>
        <w:t>Союзу РСР</w:t>
      </w:r>
      <w:r w:rsidRPr="002337C4">
        <w:rPr>
          <w:rFonts w:ascii="Times New Roman" w:hAnsi="Times New Roman"/>
          <w:sz w:val="28"/>
          <w:szCs w:val="28"/>
          <w:lang w:bidi="uk-UA"/>
        </w:rPr>
        <w:t xml:space="preserve"> та </w:t>
      </w:r>
      <w:r w:rsidRPr="002337C4">
        <w:rPr>
          <w:rFonts w:ascii="Times New Roman" w:hAnsi="Times New Roman"/>
          <w:bCs/>
          <w:sz w:val="28"/>
          <w:szCs w:val="28"/>
          <w:lang w:bidi="uk-UA"/>
        </w:rPr>
        <w:t xml:space="preserve">Української РСР (Української СРР), які </w:t>
      </w:r>
      <w:r w:rsidRPr="002337C4">
        <w:rPr>
          <w:rFonts w:ascii="Times New Roman" w:hAnsi="Times New Roman"/>
          <w:sz w:val="28"/>
          <w:szCs w:val="28"/>
          <w:lang w:bidi="uk-UA"/>
        </w:rPr>
        <w:t>визначали, зокрема, коло суб’єктів набуття права безстрокового та тимчасового користування земельними ділянками, порядок набуття вказаних речових прав, перелік правоустановчих документів тощо, висловлюють припущення, що „у випадку оспорювання чи невизнання таких прав, відстояти їх легітимність буде важко, оскільки джерело права їх виникнення не застосовується на території України“.</w:t>
      </w:r>
    </w:p>
    <w:p w:rsidR="001714F4" w:rsidRPr="002337C4" w:rsidRDefault="001714F4" w:rsidP="002337C4">
      <w:pPr>
        <w:spacing w:line="360" w:lineRule="auto"/>
        <w:ind w:firstLine="567"/>
        <w:jc w:val="both"/>
        <w:rPr>
          <w:rFonts w:ascii="Times New Roman" w:hAnsi="Times New Roman"/>
          <w:sz w:val="28"/>
          <w:szCs w:val="28"/>
          <w:lang w:bidi="uk-UA"/>
        </w:rPr>
      </w:pPr>
      <w:r w:rsidRPr="002337C4">
        <w:rPr>
          <w:rFonts w:ascii="Times New Roman" w:hAnsi="Times New Roman"/>
          <w:sz w:val="28"/>
          <w:szCs w:val="28"/>
          <w:lang w:bidi="uk-UA"/>
        </w:rPr>
        <w:t>Однак такі твердження, наведені у конституційному поданні</w:t>
      </w:r>
      <w:r w:rsidR="000336B1">
        <w:rPr>
          <w:rFonts w:ascii="Times New Roman" w:hAnsi="Times New Roman"/>
          <w:sz w:val="28"/>
          <w:szCs w:val="28"/>
          <w:lang w:bidi="uk-UA"/>
        </w:rPr>
        <w:t>,</w:t>
      </w:r>
      <w:r w:rsidRPr="002337C4">
        <w:rPr>
          <w:rFonts w:ascii="Times New Roman" w:hAnsi="Times New Roman"/>
          <w:sz w:val="28"/>
          <w:szCs w:val="28"/>
          <w:lang w:bidi="uk-UA"/>
        </w:rPr>
        <w:t xml:space="preserve"> не підкріплені аргументами про те, що незастосування на території України актів органів державної влади і органів державного управління </w:t>
      </w:r>
      <w:r w:rsidRPr="002337C4">
        <w:rPr>
          <w:rFonts w:ascii="Times New Roman" w:hAnsi="Times New Roman"/>
          <w:bCs/>
          <w:sz w:val="28"/>
          <w:szCs w:val="28"/>
          <w:lang w:bidi="uk-UA"/>
        </w:rPr>
        <w:t>Союзу РСР</w:t>
      </w:r>
      <w:r w:rsidRPr="002337C4">
        <w:rPr>
          <w:rFonts w:ascii="Times New Roman" w:hAnsi="Times New Roman"/>
          <w:sz w:val="28"/>
          <w:szCs w:val="28"/>
          <w:lang w:bidi="uk-UA"/>
        </w:rPr>
        <w:t xml:space="preserve"> та </w:t>
      </w:r>
      <w:r w:rsidRPr="002337C4">
        <w:rPr>
          <w:rFonts w:ascii="Times New Roman" w:hAnsi="Times New Roman"/>
          <w:bCs/>
          <w:sz w:val="28"/>
          <w:szCs w:val="28"/>
          <w:lang w:bidi="uk-UA"/>
        </w:rPr>
        <w:t xml:space="preserve">Української РСР (Української СРР) </w:t>
      </w:r>
      <w:r w:rsidRPr="002337C4">
        <w:rPr>
          <w:rFonts w:ascii="Times New Roman" w:hAnsi="Times New Roman"/>
          <w:sz w:val="28"/>
          <w:szCs w:val="28"/>
          <w:lang w:bidi="uk-UA"/>
        </w:rPr>
        <w:t>причиново-наслідково призводить до порушення</w:t>
      </w:r>
      <w:r w:rsidR="00DF35CF" w:rsidRPr="002337C4">
        <w:rPr>
          <w:rFonts w:ascii="Times New Roman" w:hAnsi="Times New Roman"/>
          <w:sz w:val="28"/>
          <w:szCs w:val="28"/>
          <w:lang w:bidi="uk-UA"/>
        </w:rPr>
        <w:t xml:space="preserve"> </w:t>
      </w:r>
      <w:r w:rsidRPr="002337C4">
        <w:rPr>
          <w:rFonts w:ascii="Times New Roman" w:hAnsi="Times New Roman"/>
          <w:bCs/>
          <w:sz w:val="28"/>
          <w:szCs w:val="28"/>
          <w:lang w:bidi="uk-UA"/>
        </w:rPr>
        <w:t>Конституції України та, зокрема, до</w:t>
      </w:r>
      <w:r w:rsidRPr="002337C4">
        <w:rPr>
          <w:rFonts w:ascii="Times New Roman" w:hAnsi="Times New Roman"/>
          <w:sz w:val="28"/>
          <w:szCs w:val="28"/>
          <w:lang w:bidi="uk-UA"/>
        </w:rPr>
        <w:t xml:space="preserve"> втручання в конституційне право власності, гарантоване статтею</w:t>
      </w:r>
      <w:r w:rsidR="00DF35CF" w:rsidRPr="002337C4">
        <w:rPr>
          <w:rFonts w:ascii="Times New Roman" w:hAnsi="Times New Roman"/>
          <w:sz w:val="28"/>
          <w:szCs w:val="28"/>
          <w:lang w:bidi="uk-UA"/>
        </w:rPr>
        <w:t xml:space="preserve"> 41 Основного Закону України</w:t>
      </w:r>
      <w:r w:rsidR="00947741" w:rsidRPr="002337C4">
        <w:rPr>
          <w:rFonts w:ascii="Times New Roman" w:hAnsi="Times New Roman"/>
          <w:sz w:val="28"/>
          <w:szCs w:val="28"/>
          <w:lang w:bidi="uk-UA"/>
        </w:rPr>
        <w:t>.</w:t>
      </w:r>
      <w:r w:rsidR="00DF35CF" w:rsidRPr="002337C4">
        <w:rPr>
          <w:rFonts w:ascii="Times New Roman" w:hAnsi="Times New Roman"/>
          <w:sz w:val="28"/>
          <w:szCs w:val="28"/>
          <w:lang w:bidi="uk-UA"/>
        </w:rPr>
        <w:t xml:space="preserve"> </w:t>
      </w:r>
      <w:r w:rsidR="00947741" w:rsidRPr="002337C4">
        <w:rPr>
          <w:rFonts w:ascii="Times New Roman" w:hAnsi="Times New Roman"/>
          <w:sz w:val="28"/>
          <w:szCs w:val="28"/>
          <w:lang w:bidi="uk-UA"/>
        </w:rPr>
        <w:t>Це</w:t>
      </w:r>
      <w:r w:rsidR="00DF35CF" w:rsidRPr="002337C4">
        <w:rPr>
          <w:rFonts w:ascii="Times New Roman" w:hAnsi="Times New Roman"/>
          <w:sz w:val="28"/>
          <w:szCs w:val="28"/>
          <w:lang w:bidi="uk-UA"/>
        </w:rPr>
        <w:t xml:space="preserve"> свідчить про недотримання </w:t>
      </w:r>
      <w:r w:rsidR="00D03661" w:rsidRPr="002337C4">
        <w:rPr>
          <w:rFonts w:ascii="Times New Roman" w:hAnsi="Times New Roman"/>
          <w:sz w:val="28"/>
          <w:szCs w:val="28"/>
          <w:lang w:bidi="uk-UA"/>
        </w:rPr>
        <w:t>суб’єктом права на конституційне подання</w:t>
      </w:r>
      <w:r w:rsidR="00DF35CF" w:rsidRPr="002337C4">
        <w:rPr>
          <w:rFonts w:ascii="Times New Roman" w:hAnsi="Times New Roman"/>
          <w:sz w:val="28"/>
          <w:szCs w:val="28"/>
          <w:lang w:bidi="uk-UA"/>
        </w:rPr>
        <w:t xml:space="preserve"> вимо</w:t>
      </w:r>
      <w:r w:rsidR="00C12229" w:rsidRPr="002337C4">
        <w:rPr>
          <w:rFonts w:ascii="Times New Roman" w:hAnsi="Times New Roman"/>
          <w:sz w:val="28"/>
          <w:szCs w:val="28"/>
          <w:lang w:bidi="uk-UA"/>
        </w:rPr>
        <w:t>ги щодо обґрунтування тверджень</w:t>
      </w:r>
      <w:r w:rsidR="00D03661" w:rsidRPr="002337C4">
        <w:rPr>
          <w:rFonts w:ascii="Times New Roman" w:hAnsi="Times New Roman"/>
          <w:sz w:val="28"/>
          <w:szCs w:val="28"/>
          <w:lang w:bidi="uk-UA"/>
        </w:rPr>
        <w:t xml:space="preserve"> неконституційн</w:t>
      </w:r>
      <w:r w:rsidR="00C12229" w:rsidRPr="002337C4">
        <w:rPr>
          <w:rFonts w:ascii="Times New Roman" w:hAnsi="Times New Roman"/>
          <w:sz w:val="28"/>
          <w:szCs w:val="28"/>
          <w:lang w:bidi="uk-UA"/>
        </w:rPr>
        <w:t>о</w:t>
      </w:r>
      <w:r w:rsidR="00DF35CF" w:rsidRPr="002337C4">
        <w:rPr>
          <w:rFonts w:ascii="Times New Roman" w:hAnsi="Times New Roman"/>
          <w:sz w:val="28"/>
          <w:szCs w:val="28"/>
          <w:lang w:bidi="uk-UA"/>
        </w:rPr>
        <w:t>ст</w:t>
      </w:r>
      <w:r w:rsidR="00C12229" w:rsidRPr="002337C4">
        <w:rPr>
          <w:rFonts w:ascii="Times New Roman" w:hAnsi="Times New Roman"/>
          <w:sz w:val="28"/>
          <w:szCs w:val="28"/>
          <w:lang w:bidi="uk-UA"/>
        </w:rPr>
        <w:t>і</w:t>
      </w:r>
      <w:r w:rsidR="00DF35CF" w:rsidRPr="002337C4">
        <w:rPr>
          <w:rFonts w:ascii="Times New Roman" w:hAnsi="Times New Roman"/>
          <w:sz w:val="28"/>
          <w:szCs w:val="28"/>
          <w:lang w:bidi="uk-UA"/>
        </w:rPr>
        <w:t xml:space="preserve"> акта (його окремих </w:t>
      </w:r>
      <w:r w:rsidR="00947741" w:rsidRPr="002337C4">
        <w:rPr>
          <w:rFonts w:ascii="Times New Roman" w:hAnsi="Times New Roman"/>
          <w:sz w:val="28"/>
          <w:szCs w:val="28"/>
          <w:lang w:bidi="uk-UA"/>
        </w:rPr>
        <w:t>приписів</w:t>
      </w:r>
      <w:r w:rsidR="00DF35CF" w:rsidRPr="002337C4">
        <w:rPr>
          <w:rFonts w:ascii="Times New Roman" w:hAnsi="Times New Roman"/>
          <w:sz w:val="28"/>
          <w:szCs w:val="28"/>
          <w:lang w:bidi="uk-UA"/>
        </w:rPr>
        <w:t>)</w:t>
      </w:r>
      <w:r w:rsidRPr="002337C4">
        <w:rPr>
          <w:rFonts w:ascii="Times New Roman" w:hAnsi="Times New Roman"/>
          <w:sz w:val="28"/>
          <w:szCs w:val="28"/>
          <w:lang w:bidi="uk-UA"/>
        </w:rPr>
        <w:t xml:space="preserve"> </w:t>
      </w:r>
      <w:r w:rsidR="00947741" w:rsidRPr="002337C4">
        <w:rPr>
          <w:rFonts w:ascii="Times New Roman" w:hAnsi="Times New Roman"/>
          <w:sz w:val="28"/>
          <w:szCs w:val="28"/>
          <w:lang w:bidi="uk-UA"/>
        </w:rPr>
        <w:t>(частина трет</w:t>
      </w:r>
      <w:r w:rsidR="00DF35CF" w:rsidRPr="002337C4">
        <w:rPr>
          <w:rFonts w:ascii="Times New Roman" w:hAnsi="Times New Roman"/>
          <w:sz w:val="28"/>
          <w:szCs w:val="28"/>
          <w:lang w:bidi="uk-UA"/>
        </w:rPr>
        <w:t>я статті 51 Закону України „Про Конституційний Суд України“).</w:t>
      </w:r>
    </w:p>
    <w:p w:rsidR="001714F4" w:rsidRPr="002337C4" w:rsidRDefault="001714F4" w:rsidP="002337C4">
      <w:pPr>
        <w:spacing w:line="360" w:lineRule="auto"/>
        <w:ind w:firstLine="567"/>
        <w:jc w:val="both"/>
        <w:rPr>
          <w:rFonts w:ascii="Times New Roman" w:hAnsi="Times New Roman"/>
          <w:sz w:val="28"/>
          <w:szCs w:val="28"/>
          <w:lang w:bidi="uk-UA"/>
        </w:rPr>
      </w:pPr>
    </w:p>
    <w:p w:rsidR="001714F4" w:rsidRPr="002337C4" w:rsidRDefault="001714F4" w:rsidP="002337C4">
      <w:pPr>
        <w:spacing w:line="360" w:lineRule="auto"/>
        <w:ind w:firstLine="567"/>
        <w:jc w:val="both"/>
        <w:rPr>
          <w:rFonts w:ascii="Times New Roman" w:hAnsi="Times New Roman"/>
          <w:bCs/>
          <w:sz w:val="28"/>
          <w:szCs w:val="28"/>
          <w:lang w:bidi="uk-UA"/>
        </w:rPr>
      </w:pPr>
      <w:r w:rsidRPr="002337C4">
        <w:rPr>
          <w:rFonts w:ascii="Times New Roman" w:hAnsi="Times New Roman"/>
          <w:sz w:val="28"/>
          <w:szCs w:val="28"/>
          <w:lang w:bidi="uk-UA"/>
        </w:rPr>
        <w:t xml:space="preserve">2.3. </w:t>
      </w:r>
      <w:r w:rsidRPr="002337C4">
        <w:rPr>
          <w:rFonts w:ascii="Times New Roman" w:hAnsi="Times New Roman"/>
          <w:bCs/>
          <w:sz w:val="28"/>
          <w:szCs w:val="28"/>
          <w:lang w:bidi="uk-UA"/>
        </w:rPr>
        <w:t xml:space="preserve">У конституційному поданні автори клопотання також наводять приписи Закону України </w:t>
      </w:r>
      <w:r w:rsidRPr="002337C4">
        <w:rPr>
          <w:rFonts w:ascii="Times New Roman" w:hAnsi="Times New Roman"/>
          <w:bCs/>
          <w:iCs/>
          <w:sz w:val="28"/>
          <w:szCs w:val="28"/>
          <w:lang w:bidi="uk-UA"/>
        </w:rPr>
        <w:t>„</w:t>
      </w:r>
      <w:r w:rsidRPr="002337C4">
        <w:rPr>
          <w:rFonts w:ascii="Times New Roman" w:hAnsi="Times New Roman"/>
          <w:bCs/>
          <w:sz w:val="28"/>
          <w:szCs w:val="28"/>
          <w:lang w:bidi="uk-UA"/>
        </w:rPr>
        <w:t>Про державну реєстрацію речових прав на нерухоме майно та їх обтяжень</w:t>
      </w:r>
      <w:r w:rsidRPr="002337C4">
        <w:rPr>
          <w:rFonts w:ascii="Times New Roman" w:hAnsi="Times New Roman"/>
          <w:bCs/>
          <w:iCs/>
          <w:sz w:val="28"/>
          <w:szCs w:val="28"/>
          <w:lang w:bidi="uk-UA"/>
        </w:rPr>
        <w:t>“,</w:t>
      </w:r>
      <w:r w:rsidRPr="002337C4">
        <w:rPr>
          <w:rFonts w:ascii="Times New Roman" w:hAnsi="Times New Roman"/>
          <w:bCs/>
          <w:sz w:val="28"/>
          <w:szCs w:val="28"/>
          <w:lang w:bidi="uk-UA"/>
        </w:rPr>
        <w:t xml:space="preserve"> відповідно до яких: державній реєстрації підлягають, зокрема, право власності та речові права на нерухоме майно, похідні від права власності (</w:t>
      </w:r>
      <w:r w:rsidRPr="002337C4">
        <w:rPr>
          <w:rFonts w:ascii="Times New Roman" w:hAnsi="Times New Roman"/>
          <w:bCs/>
          <w:iCs/>
          <w:sz w:val="28"/>
          <w:szCs w:val="28"/>
          <w:lang w:bidi="uk-UA"/>
        </w:rPr>
        <w:t xml:space="preserve">пункти 1, 2 частини першої </w:t>
      </w:r>
      <w:r w:rsidRPr="002337C4">
        <w:rPr>
          <w:rFonts w:ascii="Times New Roman" w:hAnsi="Times New Roman"/>
          <w:bCs/>
          <w:sz w:val="28"/>
          <w:szCs w:val="28"/>
          <w:lang w:bidi="uk-UA"/>
        </w:rPr>
        <w:t>статті 4); речові права на нерухоме майно та їх обтяження, що виникли до 1 січня 2013 року, визнаються дійсними за наявності однієї з таких умов:</w:t>
      </w:r>
      <w:bookmarkStart w:id="0" w:name="n35"/>
      <w:bookmarkEnd w:id="0"/>
      <w:r w:rsidRPr="002337C4">
        <w:rPr>
          <w:rFonts w:ascii="Times New Roman" w:hAnsi="Times New Roman"/>
          <w:bCs/>
          <w:sz w:val="28"/>
          <w:szCs w:val="28"/>
          <w:lang w:bidi="uk-UA"/>
        </w:rPr>
        <w:t xml:space="preserve"> 1) реєстрація таких прав була проведена відповідно до законодавства, що діяло на момент їх виникнення; </w:t>
      </w:r>
      <w:bookmarkStart w:id="1" w:name="n36"/>
      <w:bookmarkEnd w:id="1"/>
      <w:r w:rsidRPr="002337C4">
        <w:rPr>
          <w:rFonts w:ascii="Times New Roman" w:hAnsi="Times New Roman"/>
          <w:bCs/>
          <w:sz w:val="28"/>
          <w:szCs w:val="28"/>
          <w:lang w:bidi="uk-UA"/>
        </w:rPr>
        <w:t xml:space="preserve">2) на момент виникнення таких прав діяло законодавство, що не передбачало їх обов’язкової реєстрації (частина третя статті 3). </w:t>
      </w:r>
    </w:p>
    <w:p w:rsidR="001714F4" w:rsidRPr="002337C4" w:rsidRDefault="001714F4" w:rsidP="002337C4">
      <w:pPr>
        <w:spacing w:line="360" w:lineRule="auto"/>
        <w:ind w:firstLine="567"/>
        <w:jc w:val="both"/>
        <w:rPr>
          <w:rFonts w:ascii="Times New Roman" w:hAnsi="Times New Roman"/>
          <w:bCs/>
          <w:iCs/>
          <w:sz w:val="28"/>
          <w:szCs w:val="28"/>
          <w:lang w:bidi="uk-UA"/>
        </w:rPr>
      </w:pPr>
      <w:r w:rsidRPr="002337C4">
        <w:rPr>
          <w:rFonts w:ascii="Times New Roman" w:hAnsi="Times New Roman"/>
          <w:bCs/>
          <w:sz w:val="28"/>
          <w:szCs w:val="28"/>
          <w:lang w:bidi="uk-UA"/>
        </w:rPr>
        <w:lastRenderedPageBreak/>
        <w:t xml:space="preserve">Аналізуючи таке правове регулювання, народні депутати України доходять висновку, що </w:t>
      </w:r>
      <w:r w:rsidRPr="002337C4">
        <w:rPr>
          <w:rFonts w:ascii="Times New Roman" w:hAnsi="Times New Roman"/>
          <w:bCs/>
          <w:iCs/>
          <w:sz w:val="28"/>
          <w:szCs w:val="28"/>
          <w:lang w:bidi="uk-UA"/>
        </w:rPr>
        <w:t>„якщо права на земельні ділянки були отримані на підставі законодавства, що не застосовується на території України, і є досі не переоформленими згідно із законодавством України, дійсність таких прав викликає сумнів“.</w:t>
      </w:r>
    </w:p>
    <w:p w:rsidR="001714F4" w:rsidRPr="002337C4" w:rsidRDefault="001714F4" w:rsidP="002337C4">
      <w:pPr>
        <w:spacing w:line="360" w:lineRule="auto"/>
        <w:ind w:firstLine="567"/>
        <w:jc w:val="both"/>
        <w:rPr>
          <w:rFonts w:ascii="Times New Roman" w:hAnsi="Times New Roman"/>
          <w:bCs/>
          <w:iCs/>
          <w:sz w:val="28"/>
          <w:szCs w:val="28"/>
          <w:lang w:bidi="uk-UA"/>
        </w:rPr>
      </w:pPr>
      <w:r w:rsidRPr="002337C4">
        <w:rPr>
          <w:rFonts w:ascii="Times New Roman" w:hAnsi="Times New Roman"/>
          <w:bCs/>
          <w:iCs/>
          <w:sz w:val="28"/>
          <w:szCs w:val="28"/>
          <w:lang w:bidi="uk-UA"/>
        </w:rPr>
        <w:t xml:space="preserve">Велика палата Конституційного Суду України висновує, що наведені твердження є лише припущенням щодо </w:t>
      </w:r>
      <w:r w:rsidR="00C12229" w:rsidRPr="002337C4">
        <w:rPr>
          <w:rFonts w:ascii="Times New Roman" w:hAnsi="Times New Roman"/>
          <w:bCs/>
          <w:iCs/>
          <w:sz w:val="28"/>
          <w:szCs w:val="28"/>
          <w:lang w:bidi="uk-UA"/>
        </w:rPr>
        <w:t xml:space="preserve">перешкод у </w:t>
      </w:r>
      <w:r w:rsidRPr="002337C4">
        <w:rPr>
          <w:rFonts w:ascii="Times New Roman" w:hAnsi="Times New Roman"/>
          <w:bCs/>
          <w:iCs/>
          <w:sz w:val="28"/>
          <w:szCs w:val="28"/>
          <w:lang w:bidi="uk-UA"/>
        </w:rPr>
        <w:t xml:space="preserve">реалізації прав землекористувачів у зв’язку з актами права, які </w:t>
      </w:r>
      <w:r w:rsidR="00C12229" w:rsidRPr="002337C4">
        <w:rPr>
          <w:rFonts w:ascii="Times New Roman" w:hAnsi="Times New Roman"/>
          <w:bCs/>
          <w:iCs/>
          <w:sz w:val="28"/>
          <w:szCs w:val="28"/>
          <w:lang w:bidi="uk-UA"/>
        </w:rPr>
        <w:t>згідно</w:t>
      </w:r>
      <w:r w:rsidR="00947741" w:rsidRPr="002337C4">
        <w:rPr>
          <w:rFonts w:ascii="Times New Roman" w:hAnsi="Times New Roman"/>
          <w:bCs/>
          <w:iCs/>
          <w:sz w:val="28"/>
          <w:szCs w:val="28"/>
          <w:lang w:bidi="uk-UA"/>
        </w:rPr>
        <w:t xml:space="preserve"> з</w:t>
      </w:r>
      <w:r w:rsidR="00C12229" w:rsidRPr="002337C4">
        <w:rPr>
          <w:rFonts w:ascii="Times New Roman" w:hAnsi="Times New Roman"/>
          <w:bCs/>
          <w:iCs/>
          <w:sz w:val="28"/>
          <w:szCs w:val="28"/>
          <w:lang w:bidi="uk-UA"/>
        </w:rPr>
        <w:t xml:space="preserve"> оспорювани</w:t>
      </w:r>
      <w:r w:rsidR="00947741" w:rsidRPr="002337C4">
        <w:rPr>
          <w:rFonts w:ascii="Times New Roman" w:hAnsi="Times New Roman"/>
          <w:bCs/>
          <w:iCs/>
          <w:sz w:val="28"/>
          <w:szCs w:val="28"/>
          <w:lang w:bidi="uk-UA"/>
        </w:rPr>
        <w:t>ми</w:t>
      </w:r>
      <w:r w:rsidR="00C12229" w:rsidRPr="002337C4">
        <w:rPr>
          <w:rFonts w:ascii="Times New Roman" w:hAnsi="Times New Roman"/>
          <w:bCs/>
          <w:iCs/>
          <w:sz w:val="28"/>
          <w:szCs w:val="28"/>
          <w:lang w:bidi="uk-UA"/>
        </w:rPr>
        <w:t xml:space="preserve"> припис</w:t>
      </w:r>
      <w:r w:rsidR="00947741" w:rsidRPr="002337C4">
        <w:rPr>
          <w:rFonts w:ascii="Times New Roman" w:hAnsi="Times New Roman"/>
          <w:bCs/>
          <w:iCs/>
          <w:sz w:val="28"/>
          <w:szCs w:val="28"/>
          <w:lang w:bidi="uk-UA"/>
        </w:rPr>
        <w:t>ами</w:t>
      </w:r>
      <w:r w:rsidR="00C12229" w:rsidRPr="002337C4">
        <w:rPr>
          <w:rFonts w:ascii="Times New Roman" w:hAnsi="Times New Roman"/>
          <w:bCs/>
          <w:iCs/>
          <w:sz w:val="28"/>
          <w:szCs w:val="28"/>
          <w:lang w:bidi="uk-UA"/>
        </w:rPr>
        <w:t xml:space="preserve"> Закону № 2215 </w:t>
      </w:r>
      <w:r w:rsidRPr="002337C4">
        <w:rPr>
          <w:rFonts w:ascii="Times New Roman" w:hAnsi="Times New Roman"/>
          <w:bCs/>
          <w:iCs/>
          <w:sz w:val="28"/>
          <w:szCs w:val="28"/>
          <w:lang w:bidi="uk-UA"/>
        </w:rPr>
        <w:t>не підлягають застосуванню на території України</w:t>
      </w:r>
      <w:r w:rsidR="00C12229" w:rsidRPr="002337C4">
        <w:rPr>
          <w:rFonts w:ascii="Times New Roman" w:hAnsi="Times New Roman"/>
          <w:bCs/>
          <w:iCs/>
          <w:sz w:val="28"/>
          <w:szCs w:val="28"/>
          <w:lang w:bidi="uk-UA"/>
        </w:rPr>
        <w:t xml:space="preserve"> з огляду на окремі</w:t>
      </w:r>
      <w:r w:rsidRPr="002337C4">
        <w:rPr>
          <w:rFonts w:ascii="Times New Roman" w:hAnsi="Times New Roman"/>
          <w:bCs/>
          <w:iCs/>
          <w:sz w:val="28"/>
          <w:szCs w:val="28"/>
          <w:lang w:bidi="uk-UA"/>
        </w:rPr>
        <w:t xml:space="preserve"> приписи чинних нормативно-правових актів у сфері державної реєстрації речових прав на нерухоме майно. </w:t>
      </w:r>
    </w:p>
    <w:p w:rsidR="00DF35CF" w:rsidRPr="002337C4" w:rsidRDefault="00DF35CF" w:rsidP="002337C4">
      <w:pPr>
        <w:spacing w:line="360" w:lineRule="auto"/>
        <w:ind w:firstLine="567"/>
        <w:jc w:val="both"/>
        <w:rPr>
          <w:rFonts w:ascii="Times New Roman" w:hAnsi="Times New Roman"/>
          <w:bCs/>
          <w:iCs/>
          <w:sz w:val="28"/>
          <w:szCs w:val="28"/>
          <w:lang w:bidi="uk-UA"/>
        </w:rPr>
      </w:pPr>
      <w:r w:rsidRPr="002337C4">
        <w:rPr>
          <w:rFonts w:ascii="Times New Roman" w:hAnsi="Times New Roman"/>
          <w:bCs/>
          <w:iCs/>
          <w:sz w:val="28"/>
          <w:szCs w:val="28"/>
          <w:lang w:bidi="uk-UA"/>
        </w:rPr>
        <w:t xml:space="preserve">Велика палата Конституційного Суду України констатує, що припущення не можна вважати аргументами на підтвердження неконституційності правових актів чи їх окремих приписів, про що неодноразово зазначав Конституційний Суд України у своїх актах (ухвали Конституційного Суду України від 30 червня 2011 року № 21-у/2011, від 2 вересня 2015 року № 34-у/2015; </w:t>
      </w:r>
      <w:r w:rsidR="000336B1">
        <w:rPr>
          <w:rFonts w:ascii="Times New Roman" w:hAnsi="Times New Roman"/>
          <w:bCs/>
          <w:iCs/>
          <w:sz w:val="28"/>
          <w:szCs w:val="28"/>
          <w:lang w:bidi="uk-UA"/>
        </w:rPr>
        <w:t>У</w:t>
      </w:r>
      <w:r w:rsidRPr="002337C4">
        <w:rPr>
          <w:rFonts w:ascii="Times New Roman" w:hAnsi="Times New Roman"/>
          <w:bCs/>
          <w:iCs/>
          <w:sz w:val="28"/>
          <w:szCs w:val="28"/>
          <w:lang w:bidi="uk-UA"/>
        </w:rPr>
        <w:t>хвала Великої палати Конституційного Суду України від 1 жовтня 2024 року № 6-уп/2024).</w:t>
      </w:r>
    </w:p>
    <w:p w:rsidR="001714F4" w:rsidRPr="002337C4" w:rsidRDefault="001714F4" w:rsidP="002337C4">
      <w:pPr>
        <w:spacing w:line="360" w:lineRule="auto"/>
        <w:ind w:firstLine="567"/>
        <w:jc w:val="both"/>
        <w:rPr>
          <w:rFonts w:ascii="Times New Roman" w:hAnsi="Times New Roman"/>
          <w:sz w:val="28"/>
          <w:szCs w:val="28"/>
          <w:lang w:bidi="uk-UA"/>
        </w:rPr>
      </w:pPr>
    </w:p>
    <w:p w:rsidR="001714F4" w:rsidRPr="002337C4" w:rsidRDefault="00C12229" w:rsidP="002337C4">
      <w:pPr>
        <w:spacing w:line="360" w:lineRule="auto"/>
        <w:ind w:firstLine="567"/>
        <w:jc w:val="both"/>
        <w:rPr>
          <w:rFonts w:ascii="Times New Roman" w:hAnsi="Times New Roman"/>
          <w:sz w:val="28"/>
          <w:szCs w:val="28"/>
          <w:lang w:bidi="uk-UA"/>
        </w:rPr>
      </w:pPr>
      <w:r w:rsidRPr="002337C4">
        <w:rPr>
          <w:rFonts w:ascii="Times New Roman" w:hAnsi="Times New Roman"/>
          <w:bCs/>
          <w:sz w:val="28"/>
          <w:szCs w:val="28"/>
          <w:lang w:bidi="uk-UA"/>
        </w:rPr>
        <w:t>3.</w:t>
      </w:r>
      <w:r w:rsidR="001714F4" w:rsidRPr="002337C4">
        <w:rPr>
          <w:rFonts w:ascii="Times New Roman" w:hAnsi="Times New Roman"/>
          <w:bCs/>
          <w:sz w:val="28"/>
          <w:szCs w:val="28"/>
          <w:lang w:bidi="uk-UA"/>
        </w:rPr>
        <w:t xml:space="preserve"> </w:t>
      </w:r>
      <w:r w:rsidR="001714F4" w:rsidRPr="002337C4">
        <w:rPr>
          <w:rFonts w:ascii="Times New Roman" w:hAnsi="Times New Roman"/>
          <w:bCs/>
          <w:iCs/>
          <w:sz w:val="28"/>
          <w:szCs w:val="28"/>
          <w:lang w:bidi="uk-UA"/>
        </w:rPr>
        <w:t xml:space="preserve">Велика палата </w:t>
      </w:r>
      <w:r w:rsidR="006E4641" w:rsidRPr="002337C4">
        <w:rPr>
          <w:rFonts w:ascii="Times New Roman" w:hAnsi="Times New Roman"/>
          <w:bCs/>
          <w:iCs/>
          <w:sz w:val="28"/>
          <w:szCs w:val="28"/>
          <w:lang w:bidi="uk-UA"/>
        </w:rPr>
        <w:t xml:space="preserve">Конституційного Суду України, </w:t>
      </w:r>
      <w:r w:rsidRPr="002337C4">
        <w:rPr>
          <w:rFonts w:ascii="Times New Roman" w:hAnsi="Times New Roman"/>
          <w:bCs/>
          <w:iCs/>
          <w:sz w:val="28"/>
          <w:szCs w:val="28"/>
          <w:lang w:bidi="uk-UA"/>
        </w:rPr>
        <w:t>надаючи оцінку обґрунтованості конституційного подання, звертає увагу</w:t>
      </w:r>
      <w:r w:rsidR="001714F4" w:rsidRPr="002337C4">
        <w:rPr>
          <w:rFonts w:ascii="Times New Roman" w:hAnsi="Times New Roman"/>
          <w:bCs/>
          <w:iCs/>
          <w:sz w:val="28"/>
          <w:szCs w:val="28"/>
          <w:lang w:bidi="uk-UA"/>
        </w:rPr>
        <w:t xml:space="preserve">, що </w:t>
      </w:r>
      <w:r w:rsidR="001714F4" w:rsidRPr="002337C4">
        <w:rPr>
          <w:rFonts w:ascii="Times New Roman" w:hAnsi="Times New Roman"/>
          <w:sz w:val="28"/>
          <w:szCs w:val="28"/>
          <w:lang w:bidi="uk-UA"/>
        </w:rPr>
        <w:t xml:space="preserve">Конституційний Суд України у Рішенні від 22 вересня 2005 року № 5-рп/2005 висловив юридичну позицію щодо прав землекористувачів, набутих відповідно до чинного на той час законодавства, і зазначив таке: </w:t>
      </w:r>
    </w:p>
    <w:p w:rsidR="001714F4" w:rsidRPr="002337C4" w:rsidRDefault="001714F4" w:rsidP="002337C4">
      <w:pPr>
        <w:spacing w:line="360" w:lineRule="auto"/>
        <w:ind w:firstLine="567"/>
        <w:jc w:val="both"/>
        <w:rPr>
          <w:rFonts w:ascii="Times New Roman" w:hAnsi="Times New Roman"/>
          <w:sz w:val="28"/>
          <w:szCs w:val="28"/>
          <w:lang w:bidi="uk-UA"/>
        </w:rPr>
      </w:pPr>
      <w:r w:rsidRPr="002337C4">
        <w:rPr>
          <w:rFonts w:ascii="Times New Roman" w:hAnsi="Times New Roman"/>
          <w:bCs/>
          <w:iCs/>
          <w:sz w:val="28"/>
          <w:szCs w:val="28"/>
          <w:lang w:bidi="uk-UA"/>
        </w:rPr>
        <w:t>„З</w:t>
      </w:r>
      <w:r w:rsidRPr="002337C4">
        <w:rPr>
          <w:rFonts w:ascii="Times New Roman" w:hAnsi="Times New Roman"/>
          <w:sz w:val="28"/>
          <w:szCs w:val="28"/>
          <w:lang w:bidi="uk-UA"/>
        </w:rPr>
        <w:t xml:space="preserve">гідно з частиною третьою статті 41 Конституції України громадяни для задоволення своїх потреб можуть користуватися об’єктами права державної та комунальної власності відповідно до закону. Ця конституційна гарантія не може тлумачитися як така, що заперечує державний захист інших визнаних майнових прав громадян (крім права власності) або обмежує можливості такого захисту прав землекористувачів, набутих свого часу відповідно до чинного на той час законодавства. </w:t>
      </w:r>
    </w:p>
    <w:p w:rsidR="001714F4" w:rsidRPr="002337C4" w:rsidRDefault="001714F4" w:rsidP="002337C4">
      <w:pPr>
        <w:spacing w:line="360" w:lineRule="auto"/>
        <w:ind w:firstLine="567"/>
        <w:jc w:val="both"/>
        <w:rPr>
          <w:rFonts w:ascii="Times New Roman" w:hAnsi="Times New Roman"/>
          <w:sz w:val="28"/>
          <w:szCs w:val="28"/>
          <w:lang w:bidi="uk-UA"/>
        </w:rPr>
      </w:pPr>
      <w:r w:rsidRPr="002337C4">
        <w:rPr>
          <w:rFonts w:ascii="Times New Roman" w:hAnsi="Times New Roman"/>
          <w:sz w:val="28"/>
          <w:szCs w:val="28"/>
          <w:lang w:bidi="uk-UA"/>
        </w:rPr>
        <w:lastRenderedPageBreak/>
        <w:t>Таким чином, стосовно права постійного користування земельними ділянками діє механізм захисту, гарантований статтями 13, 14, 41, 55 Конституції України.</w:t>
      </w:r>
    </w:p>
    <w:p w:rsidR="001714F4" w:rsidRPr="002337C4" w:rsidRDefault="001714F4" w:rsidP="002337C4">
      <w:pPr>
        <w:spacing w:line="360" w:lineRule="auto"/>
        <w:ind w:firstLine="567"/>
        <w:jc w:val="both"/>
        <w:rPr>
          <w:rFonts w:ascii="Times New Roman" w:hAnsi="Times New Roman"/>
          <w:sz w:val="28"/>
          <w:szCs w:val="28"/>
          <w:lang w:val="ru-RU"/>
        </w:rPr>
      </w:pPr>
      <w:r w:rsidRPr="002337C4">
        <w:rPr>
          <w:rFonts w:ascii="Times New Roman" w:hAnsi="Times New Roman"/>
          <w:sz w:val="28"/>
          <w:szCs w:val="28"/>
          <w:lang w:bidi="uk-UA"/>
        </w:rPr>
        <w:t>Орган законодавчої влади має право встановлювати для громадян та юридичних осіб, у яких є в постійному користуванні земельні ділянки, але які за Земельним кодексом України не можуть мати їх на такому праві, строк, протягом якого ці особи зобов’язані переоформити у встановленому порядку право власності або право оренди на земельні ділянки. Але при цьому орган законодавчої влади повинен дотримуватися приписів Основного Закону України</w:t>
      </w:r>
      <w:r w:rsidRPr="002337C4">
        <w:rPr>
          <w:rFonts w:ascii="Times New Roman" w:hAnsi="Times New Roman"/>
          <w:bCs/>
          <w:sz w:val="28"/>
          <w:szCs w:val="28"/>
          <w:lang w:bidi="uk-UA"/>
        </w:rPr>
        <w:t>“</w:t>
      </w:r>
      <w:r w:rsidRPr="002337C4">
        <w:rPr>
          <w:rFonts w:ascii="Times New Roman" w:hAnsi="Times New Roman"/>
          <w:sz w:val="28"/>
          <w:szCs w:val="28"/>
          <w:lang w:bidi="uk-UA"/>
        </w:rPr>
        <w:t xml:space="preserve"> (абзаци перший, другий, третій підпункту </w:t>
      </w:r>
      <w:r w:rsidRPr="002337C4">
        <w:rPr>
          <w:rFonts w:ascii="Times New Roman" w:hAnsi="Times New Roman"/>
          <w:sz w:val="28"/>
          <w:szCs w:val="28"/>
          <w:lang w:val="ru-RU"/>
        </w:rPr>
        <w:t>5.2</w:t>
      </w:r>
      <w:r w:rsidRPr="002337C4">
        <w:rPr>
          <w:rFonts w:ascii="Times New Roman" w:hAnsi="Times New Roman"/>
          <w:sz w:val="28"/>
          <w:szCs w:val="28"/>
          <w:lang w:bidi="uk-UA"/>
        </w:rPr>
        <w:t xml:space="preserve"> пункту 5</w:t>
      </w:r>
      <w:r w:rsidRPr="002337C4">
        <w:rPr>
          <w:rFonts w:ascii="Times New Roman" w:hAnsi="Times New Roman"/>
          <w:sz w:val="28"/>
          <w:szCs w:val="28"/>
          <w:lang w:val="ru-RU"/>
        </w:rPr>
        <w:t xml:space="preserve"> </w:t>
      </w:r>
      <w:r w:rsidRPr="002337C4">
        <w:rPr>
          <w:rFonts w:ascii="Times New Roman" w:hAnsi="Times New Roman"/>
          <w:sz w:val="28"/>
          <w:szCs w:val="28"/>
          <w:lang w:bidi="uk-UA"/>
        </w:rPr>
        <w:t>мотивувальної частини).</w:t>
      </w:r>
      <w:r w:rsidRPr="002337C4">
        <w:rPr>
          <w:rFonts w:ascii="Times New Roman" w:hAnsi="Times New Roman"/>
          <w:sz w:val="28"/>
          <w:szCs w:val="28"/>
          <w:lang w:val="ru-RU"/>
        </w:rPr>
        <w:t xml:space="preserve"> </w:t>
      </w:r>
    </w:p>
    <w:p w:rsidR="001714F4" w:rsidRPr="002337C4" w:rsidRDefault="001714F4" w:rsidP="002337C4">
      <w:pPr>
        <w:spacing w:line="360" w:lineRule="auto"/>
        <w:ind w:firstLine="567"/>
        <w:jc w:val="both"/>
        <w:rPr>
          <w:rFonts w:ascii="Times New Roman" w:hAnsi="Times New Roman"/>
          <w:sz w:val="28"/>
          <w:szCs w:val="28"/>
        </w:rPr>
      </w:pPr>
      <w:r w:rsidRPr="002337C4">
        <w:rPr>
          <w:rFonts w:ascii="Times New Roman" w:hAnsi="Times New Roman"/>
          <w:sz w:val="28"/>
          <w:szCs w:val="28"/>
        </w:rPr>
        <w:t xml:space="preserve">Отже, з огляду на відсутність обґрунтування тверджень щодо неконституційності окремих приписів Закону № 2215 в частині незастосування на території України відповідно до </w:t>
      </w:r>
      <w:r w:rsidRPr="002337C4">
        <w:rPr>
          <w:rFonts w:ascii="Times New Roman" w:hAnsi="Times New Roman"/>
          <w:bCs/>
          <w:sz w:val="28"/>
          <w:szCs w:val="28"/>
        </w:rPr>
        <w:t xml:space="preserve">пункту 1 розділу XV </w:t>
      </w:r>
      <w:r w:rsidRPr="002337C4">
        <w:rPr>
          <w:rFonts w:ascii="Times New Roman" w:hAnsi="Times New Roman"/>
          <w:bCs/>
          <w:iCs/>
          <w:sz w:val="28"/>
          <w:szCs w:val="28"/>
        </w:rPr>
        <w:t>„</w:t>
      </w:r>
      <w:r w:rsidRPr="002337C4">
        <w:rPr>
          <w:rFonts w:ascii="Times New Roman" w:hAnsi="Times New Roman"/>
          <w:bCs/>
          <w:sz w:val="28"/>
          <w:szCs w:val="28"/>
        </w:rPr>
        <w:t>Перехідні положення</w:t>
      </w:r>
      <w:r w:rsidRPr="002337C4">
        <w:rPr>
          <w:rFonts w:ascii="Times New Roman" w:hAnsi="Times New Roman"/>
          <w:bCs/>
          <w:iCs/>
          <w:sz w:val="28"/>
          <w:szCs w:val="28"/>
        </w:rPr>
        <w:t>“</w:t>
      </w:r>
      <w:r w:rsidRPr="002337C4">
        <w:rPr>
          <w:rFonts w:ascii="Times New Roman" w:hAnsi="Times New Roman"/>
          <w:bCs/>
          <w:sz w:val="28"/>
          <w:szCs w:val="28"/>
        </w:rPr>
        <w:t xml:space="preserve"> Конституції України</w:t>
      </w:r>
      <w:r w:rsidRPr="002337C4">
        <w:rPr>
          <w:rFonts w:ascii="Times New Roman" w:hAnsi="Times New Roman"/>
          <w:sz w:val="28"/>
          <w:szCs w:val="28"/>
        </w:rPr>
        <w:t xml:space="preserve"> </w:t>
      </w:r>
      <w:r w:rsidRPr="002337C4">
        <w:rPr>
          <w:rFonts w:ascii="Times New Roman" w:hAnsi="Times New Roman"/>
          <w:bCs/>
          <w:iCs/>
          <w:sz w:val="28"/>
          <w:szCs w:val="28"/>
          <w:lang w:bidi="uk-UA"/>
        </w:rPr>
        <w:t xml:space="preserve">Велика палата Конституційного Суду України </w:t>
      </w:r>
      <w:r w:rsidRPr="002337C4">
        <w:rPr>
          <w:rFonts w:ascii="Times New Roman" w:hAnsi="Times New Roman"/>
          <w:sz w:val="28"/>
          <w:szCs w:val="28"/>
        </w:rPr>
        <w:t>вважає, що є підстави для відмови у відкритті конституційного провадження у цій справі згідно з пунктом 3 статті 62 Закону України „Про Конституційний Суд</w:t>
      </w:r>
      <w:r w:rsidR="002337C4">
        <w:rPr>
          <w:rFonts w:ascii="Times New Roman" w:hAnsi="Times New Roman"/>
          <w:sz w:val="28"/>
          <w:szCs w:val="28"/>
        </w:rPr>
        <w:br/>
      </w:r>
      <w:r w:rsidRPr="002337C4">
        <w:rPr>
          <w:rFonts w:ascii="Times New Roman" w:hAnsi="Times New Roman"/>
          <w:sz w:val="28"/>
          <w:szCs w:val="28"/>
        </w:rPr>
        <w:t>України“ – невідповідність конституційного подання вимогам, передбаченим цим законом.</w:t>
      </w:r>
    </w:p>
    <w:p w:rsidR="001714F4" w:rsidRPr="002337C4" w:rsidRDefault="001714F4" w:rsidP="002337C4">
      <w:pPr>
        <w:spacing w:line="360" w:lineRule="auto"/>
        <w:ind w:firstLine="567"/>
        <w:jc w:val="both"/>
        <w:rPr>
          <w:rFonts w:ascii="Times New Roman" w:hAnsi="Times New Roman"/>
          <w:sz w:val="28"/>
          <w:szCs w:val="28"/>
        </w:rPr>
      </w:pPr>
    </w:p>
    <w:p w:rsidR="004A0E00" w:rsidRPr="002337C4" w:rsidRDefault="002337C4" w:rsidP="002337C4">
      <w:pPr>
        <w:spacing w:line="360" w:lineRule="auto"/>
        <w:ind w:firstLine="567"/>
        <w:jc w:val="both"/>
        <w:rPr>
          <w:rFonts w:ascii="Times New Roman" w:hAnsi="Times New Roman"/>
          <w:sz w:val="28"/>
          <w:szCs w:val="28"/>
        </w:rPr>
      </w:pPr>
      <w:r>
        <w:rPr>
          <w:rFonts w:ascii="Times New Roman" w:hAnsi="Times New Roman"/>
          <w:sz w:val="28"/>
          <w:szCs w:val="28"/>
        </w:rPr>
        <w:t>У</w:t>
      </w:r>
      <w:r w:rsidR="004A0E00" w:rsidRPr="002337C4">
        <w:rPr>
          <w:rFonts w:ascii="Times New Roman" w:hAnsi="Times New Roman"/>
          <w:sz w:val="28"/>
          <w:szCs w:val="28"/>
        </w:rPr>
        <w:t>раховуючи викладене та керуючись статтями 147, 150, 153</w:t>
      </w:r>
      <w:r w:rsidR="006513C6" w:rsidRPr="002337C4">
        <w:rPr>
          <w:rFonts w:ascii="Times New Roman" w:hAnsi="Times New Roman"/>
          <w:sz w:val="28"/>
          <w:szCs w:val="28"/>
        </w:rPr>
        <w:t xml:space="preserve"> </w:t>
      </w:r>
      <w:r w:rsidR="004A0E00" w:rsidRPr="002337C4">
        <w:rPr>
          <w:rFonts w:ascii="Times New Roman" w:hAnsi="Times New Roman"/>
          <w:sz w:val="28"/>
          <w:szCs w:val="28"/>
        </w:rPr>
        <w:t>Конституції України,</w:t>
      </w:r>
      <w:r w:rsidR="00C156F8" w:rsidRPr="002337C4">
        <w:rPr>
          <w:rFonts w:ascii="Times New Roman" w:hAnsi="Times New Roman"/>
          <w:sz w:val="28"/>
          <w:szCs w:val="28"/>
        </w:rPr>
        <w:t xml:space="preserve"> на підставі</w:t>
      </w:r>
      <w:r w:rsidR="004A0E00" w:rsidRPr="002337C4">
        <w:rPr>
          <w:rFonts w:ascii="Times New Roman" w:hAnsi="Times New Roman"/>
          <w:sz w:val="28"/>
          <w:szCs w:val="28"/>
        </w:rPr>
        <w:t xml:space="preserve"> стат</w:t>
      </w:r>
      <w:r w:rsidR="00C156F8" w:rsidRPr="002337C4">
        <w:rPr>
          <w:rFonts w:ascii="Times New Roman" w:hAnsi="Times New Roman"/>
          <w:sz w:val="28"/>
          <w:szCs w:val="28"/>
        </w:rPr>
        <w:t>ей</w:t>
      </w:r>
      <w:r w:rsidR="004A0E00" w:rsidRPr="002337C4">
        <w:rPr>
          <w:rFonts w:ascii="Times New Roman" w:hAnsi="Times New Roman"/>
          <w:sz w:val="28"/>
          <w:szCs w:val="28"/>
        </w:rPr>
        <w:t xml:space="preserve"> </w:t>
      </w:r>
      <w:r w:rsidR="00BB316E" w:rsidRPr="002337C4">
        <w:rPr>
          <w:rFonts w:ascii="Times New Roman" w:hAnsi="Times New Roman"/>
          <w:sz w:val="28"/>
          <w:szCs w:val="28"/>
        </w:rPr>
        <w:t xml:space="preserve">7, </w:t>
      </w:r>
      <w:r w:rsidR="004A0E00" w:rsidRPr="002337C4">
        <w:rPr>
          <w:rFonts w:ascii="Times New Roman" w:hAnsi="Times New Roman"/>
          <w:sz w:val="28"/>
          <w:szCs w:val="28"/>
        </w:rPr>
        <w:t xml:space="preserve">32, 35, </w:t>
      </w:r>
      <w:r w:rsidR="00782D15" w:rsidRPr="002337C4">
        <w:rPr>
          <w:rFonts w:ascii="Times New Roman" w:hAnsi="Times New Roman"/>
          <w:sz w:val="28"/>
          <w:szCs w:val="28"/>
        </w:rPr>
        <w:t xml:space="preserve">51, 52, </w:t>
      </w:r>
      <w:r w:rsidR="004A0E00" w:rsidRPr="002337C4">
        <w:rPr>
          <w:rFonts w:ascii="Times New Roman" w:hAnsi="Times New Roman"/>
          <w:sz w:val="28"/>
          <w:szCs w:val="28"/>
        </w:rPr>
        <w:t>62, 65, 66, 86 Закону</w:t>
      </w:r>
      <w:r w:rsidR="006513C6" w:rsidRPr="002337C4">
        <w:rPr>
          <w:rFonts w:ascii="Times New Roman" w:hAnsi="Times New Roman"/>
          <w:sz w:val="28"/>
          <w:szCs w:val="28"/>
        </w:rPr>
        <w:t xml:space="preserve"> </w:t>
      </w:r>
      <w:r w:rsidR="004A0E00" w:rsidRPr="002337C4">
        <w:rPr>
          <w:rFonts w:ascii="Times New Roman" w:hAnsi="Times New Roman"/>
          <w:sz w:val="28"/>
          <w:szCs w:val="28"/>
        </w:rPr>
        <w:t>України „Про Конституційний Суд України“</w:t>
      </w:r>
      <w:r w:rsidR="00D17FB1" w:rsidRPr="002337C4">
        <w:rPr>
          <w:rFonts w:ascii="Times New Roman" w:hAnsi="Times New Roman"/>
          <w:color w:val="auto"/>
          <w:sz w:val="28"/>
          <w:szCs w:val="28"/>
        </w:rPr>
        <w:t xml:space="preserve"> </w:t>
      </w:r>
      <w:r w:rsidR="00D17FB1" w:rsidRPr="002337C4">
        <w:rPr>
          <w:rFonts w:ascii="Times New Roman" w:hAnsi="Times New Roman"/>
          <w:sz w:val="28"/>
          <w:szCs w:val="28"/>
        </w:rPr>
        <w:t>та відповідно до § 45, § 52 Регламенту Конституційного Суду України</w:t>
      </w:r>
      <w:r w:rsidR="004A0E00" w:rsidRPr="002337C4">
        <w:rPr>
          <w:rFonts w:ascii="Times New Roman" w:hAnsi="Times New Roman"/>
          <w:sz w:val="28"/>
          <w:szCs w:val="28"/>
        </w:rPr>
        <w:t xml:space="preserve"> </w:t>
      </w:r>
      <w:r w:rsidR="00D17FB1" w:rsidRPr="002337C4">
        <w:rPr>
          <w:rFonts w:ascii="Times New Roman" w:hAnsi="Times New Roman"/>
          <w:sz w:val="28"/>
          <w:szCs w:val="28"/>
        </w:rPr>
        <w:t>Велика палата Конституційного</w:t>
      </w:r>
      <w:r w:rsidR="004A0E00" w:rsidRPr="002337C4">
        <w:rPr>
          <w:rFonts w:ascii="Times New Roman" w:hAnsi="Times New Roman"/>
          <w:sz w:val="28"/>
          <w:szCs w:val="28"/>
        </w:rPr>
        <w:t xml:space="preserve"> Суд</w:t>
      </w:r>
      <w:r w:rsidR="00D17FB1" w:rsidRPr="002337C4">
        <w:rPr>
          <w:rFonts w:ascii="Times New Roman" w:hAnsi="Times New Roman"/>
          <w:sz w:val="28"/>
          <w:szCs w:val="28"/>
        </w:rPr>
        <w:t>у</w:t>
      </w:r>
      <w:r w:rsidR="006513C6" w:rsidRPr="002337C4">
        <w:rPr>
          <w:rFonts w:ascii="Times New Roman" w:hAnsi="Times New Roman"/>
          <w:sz w:val="28"/>
          <w:szCs w:val="28"/>
        </w:rPr>
        <w:t xml:space="preserve"> </w:t>
      </w:r>
      <w:r w:rsidR="004A0E00" w:rsidRPr="002337C4">
        <w:rPr>
          <w:rFonts w:ascii="Times New Roman" w:hAnsi="Times New Roman"/>
          <w:sz w:val="28"/>
          <w:szCs w:val="28"/>
        </w:rPr>
        <w:t>України</w:t>
      </w:r>
    </w:p>
    <w:p w:rsidR="003D7E98" w:rsidRPr="002337C4" w:rsidRDefault="003D7E98" w:rsidP="002337C4">
      <w:pPr>
        <w:spacing w:line="360" w:lineRule="auto"/>
        <w:ind w:firstLine="567"/>
        <w:jc w:val="both"/>
        <w:rPr>
          <w:rFonts w:ascii="Times New Roman" w:hAnsi="Times New Roman"/>
          <w:color w:val="auto"/>
          <w:sz w:val="28"/>
          <w:szCs w:val="28"/>
        </w:rPr>
      </w:pPr>
    </w:p>
    <w:p w:rsidR="001714F4" w:rsidRPr="002337C4" w:rsidRDefault="001714F4" w:rsidP="002337C4">
      <w:pPr>
        <w:spacing w:line="360" w:lineRule="auto"/>
        <w:jc w:val="center"/>
        <w:rPr>
          <w:rFonts w:ascii="Times New Roman" w:eastAsia="Calibri" w:hAnsi="Times New Roman"/>
          <w:b/>
          <w:color w:val="auto"/>
          <w:sz w:val="28"/>
          <w:szCs w:val="28"/>
          <w:lang w:bidi="hi-IN"/>
        </w:rPr>
      </w:pPr>
      <w:r w:rsidRPr="002337C4">
        <w:rPr>
          <w:rFonts w:ascii="Times New Roman" w:eastAsia="Calibri" w:hAnsi="Times New Roman"/>
          <w:b/>
          <w:color w:val="auto"/>
          <w:sz w:val="28"/>
          <w:szCs w:val="28"/>
          <w:lang w:bidi="hi-IN"/>
        </w:rPr>
        <w:t>п о с т а н о в и л а:</w:t>
      </w:r>
    </w:p>
    <w:p w:rsidR="00BB79C5" w:rsidRPr="002337C4" w:rsidRDefault="00BB79C5" w:rsidP="002337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rPr>
          <w:rFonts w:ascii="Times New Roman" w:hAnsi="Times New Roman" w:cs="Times New Roman"/>
          <w:sz w:val="28"/>
          <w:szCs w:val="28"/>
          <w:lang w:val="uk-UA"/>
        </w:rPr>
      </w:pPr>
    </w:p>
    <w:p w:rsidR="001714F4" w:rsidRPr="002337C4" w:rsidRDefault="00BB79C5" w:rsidP="002337C4">
      <w:pPr>
        <w:spacing w:line="360" w:lineRule="auto"/>
        <w:ind w:firstLine="567"/>
        <w:jc w:val="both"/>
        <w:rPr>
          <w:rFonts w:ascii="Times New Roman" w:hAnsi="Times New Roman"/>
          <w:color w:val="auto"/>
          <w:sz w:val="28"/>
          <w:szCs w:val="28"/>
        </w:rPr>
      </w:pPr>
      <w:r w:rsidRPr="002337C4">
        <w:rPr>
          <w:rFonts w:ascii="Times New Roman" w:hAnsi="Times New Roman"/>
          <w:sz w:val="28"/>
          <w:szCs w:val="28"/>
        </w:rPr>
        <w:t>1</w:t>
      </w:r>
      <w:r w:rsidR="006513C6" w:rsidRPr="002337C4">
        <w:rPr>
          <w:rFonts w:ascii="Times New Roman" w:hAnsi="Times New Roman"/>
          <w:sz w:val="28"/>
          <w:szCs w:val="28"/>
        </w:rPr>
        <w:t xml:space="preserve">. </w:t>
      </w:r>
      <w:r w:rsidR="001714F4" w:rsidRPr="002337C4">
        <w:rPr>
          <w:rFonts w:ascii="Times New Roman" w:hAnsi="Times New Roman"/>
          <w:sz w:val="28"/>
          <w:szCs w:val="28"/>
        </w:rPr>
        <w:t xml:space="preserve">Відмовити у відкритті конституційного провадження у справі за конституційним поданням 51 народного депутата України щодо відповідності </w:t>
      </w:r>
      <w:r w:rsidR="001714F4" w:rsidRPr="002337C4">
        <w:rPr>
          <w:rFonts w:ascii="Times New Roman" w:hAnsi="Times New Roman"/>
          <w:sz w:val="28"/>
          <w:szCs w:val="28"/>
        </w:rPr>
        <w:br/>
        <w:t xml:space="preserve">Конституції України (конституційності) окремих приписів Закону України „Про </w:t>
      </w:r>
      <w:r w:rsidR="001714F4" w:rsidRPr="002337C4">
        <w:rPr>
          <w:rFonts w:ascii="Times New Roman" w:hAnsi="Times New Roman"/>
          <w:sz w:val="28"/>
          <w:szCs w:val="28"/>
        </w:rPr>
        <w:lastRenderedPageBreak/>
        <w:t>дерадянізацію законодавства України“ від 21 квітня 2022 року № 2215–ІХ</w:t>
      </w:r>
      <w:r w:rsidR="001714F4" w:rsidRPr="002337C4">
        <w:rPr>
          <w:rFonts w:ascii="Times New Roman" w:hAnsi="Times New Roman"/>
          <w:bCs/>
          <w:sz w:val="28"/>
          <w:szCs w:val="28"/>
          <w:lang w:bidi="uk-UA"/>
        </w:rPr>
        <w:t xml:space="preserve"> </w:t>
      </w:r>
      <w:r w:rsidR="001714F4" w:rsidRPr="002337C4">
        <w:rPr>
          <w:rFonts w:ascii="Times New Roman" w:hAnsi="Times New Roman"/>
          <w:color w:val="auto"/>
          <w:sz w:val="28"/>
          <w:szCs w:val="28"/>
        </w:rPr>
        <w:t>на підставі пункту 3 статті 62 Закону України „Про Конституційний Суд</w:t>
      </w:r>
      <w:r w:rsidR="001714F4" w:rsidRPr="002337C4">
        <w:rPr>
          <w:rFonts w:ascii="Times New Roman" w:hAnsi="Times New Roman"/>
          <w:color w:val="auto"/>
          <w:sz w:val="28"/>
          <w:szCs w:val="28"/>
        </w:rPr>
        <w:br/>
        <w:t>України“ – невідповідність конституційного подання вимогам, передбаченим цим законом.</w:t>
      </w:r>
    </w:p>
    <w:p w:rsidR="00B35843" w:rsidRPr="002337C4" w:rsidRDefault="00B35843" w:rsidP="002337C4">
      <w:pPr>
        <w:spacing w:line="360" w:lineRule="auto"/>
        <w:ind w:firstLine="567"/>
        <w:jc w:val="both"/>
        <w:rPr>
          <w:rFonts w:ascii="Times New Roman" w:hAnsi="Times New Roman"/>
          <w:color w:val="auto"/>
          <w:sz w:val="28"/>
          <w:szCs w:val="28"/>
        </w:rPr>
      </w:pPr>
    </w:p>
    <w:p w:rsidR="006513C6" w:rsidRPr="002337C4" w:rsidRDefault="006513C6" w:rsidP="002337C4">
      <w:pPr>
        <w:spacing w:line="360" w:lineRule="auto"/>
        <w:ind w:firstLine="567"/>
        <w:jc w:val="both"/>
        <w:rPr>
          <w:rFonts w:ascii="Times New Roman" w:hAnsi="Times New Roman"/>
          <w:color w:val="auto"/>
          <w:sz w:val="28"/>
          <w:szCs w:val="28"/>
        </w:rPr>
      </w:pPr>
      <w:r w:rsidRPr="002337C4">
        <w:rPr>
          <w:rFonts w:ascii="Times New Roman" w:hAnsi="Times New Roman"/>
          <w:color w:val="auto"/>
          <w:sz w:val="28"/>
          <w:szCs w:val="28"/>
        </w:rPr>
        <w:t xml:space="preserve">2. Ухвала </w:t>
      </w:r>
      <w:r w:rsidR="00D17FB1" w:rsidRPr="002337C4">
        <w:rPr>
          <w:rFonts w:ascii="Times New Roman" w:hAnsi="Times New Roman"/>
          <w:color w:val="auto"/>
          <w:sz w:val="28"/>
          <w:szCs w:val="28"/>
        </w:rPr>
        <w:t xml:space="preserve">Великої палати </w:t>
      </w:r>
      <w:r w:rsidRPr="002337C4">
        <w:rPr>
          <w:rFonts w:ascii="Times New Roman" w:hAnsi="Times New Roman"/>
          <w:color w:val="auto"/>
          <w:sz w:val="28"/>
          <w:szCs w:val="28"/>
        </w:rPr>
        <w:t>Конституційного Суду України є остаточною.</w:t>
      </w:r>
    </w:p>
    <w:p w:rsidR="00B35843" w:rsidRDefault="00B35843" w:rsidP="002337C4">
      <w:pPr>
        <w:ind w:firstLine="709"/>
        <w:jc w:val="both"/>
        <w:rPr>
          <w:rFonts w:ascii="Times New Roman" w:hAnsi="Times New Roman"/>
          <w:color w:val="auto"/>
          <w:sz w:val="28"/>
          <w:szCs w:val="28"/>
        </w:rPr>
      </w:pPr>
    </w:p>
    <w:p w:rsidR="002337C4" w:rsidRPr="002337C4" w:rsidRDefault="002337C4" w:rsidP="002337C4">
      <w:pPr>
        <w:ind w:firstLine="709"/>
        <w:jc w:val="both"/>
        <w:rPr>
          <w:rFonts w:ascii="Times New Roman" w:hAnsi="Times New Roman"/>
          <w:color w:val="auto"/>
          <w:sz w:val="28"/>
          <w:szCs w:val="28"/>
        </w:rPr>
      </w:pPr>
    </w:p>
    <w:p w:rsidR="00981AAF" w:rsidRDefault="00981AAF" w:rsidP="002337C4">
      <w:pPr>
        <w:ind w:firstLine="709"/>
        <w:jc w:val="both"/>
        <w:rPr>
          <w:rFonts w:ascii="Times New Roman" w:hAnsi="Times New Roman"/>
          <w:color w:val="auto"/>
          <w:sz w:val="28"/>
          <w:szCs w:val="28"/>
        </w:rPr>
      </w:pPr>
    </w:p>
    <w:p w:rsidR="00CB2130" w:rsidRPr="00CB2130" w:rsidRDefault="00CB2130" w:rsidP="00CB2130">
      <w:pPr>
        <w:ind w:left="4254"/>
        <w:jc w:val="center"/>
        <w:rPr>
          <w:rFonts w:ascii="Times New Roman" w:hAnsi="Times New Roman"/>
          <w:b/>
          <w:caps/>
          <w:sz w:val="28"/>
          <w:szCs w:val="28"/>
        </w:rPr>
      </w:pPr>
      <w:bookmarkStart w:id="2" w:name="_GoBack"/>
      <w:r w:rsidRPr="00CB2130">
        <w:rPr>
          <w:rFonts w:ascii="Times New Roman" w:hAnsi="Times New Roman"/>
          <w:b/>
          <w:caps/>
          <w:sz w:val="28"/>
          <w:szCs w:val="28"/>
        </w:rPr>
        <w:t>Велика палата</w:t>
      </w:r>
    </w:p>
    <w:p w:rsidR="002337C4" w:rsidRPr="00CB2130" w:rsidRDefault="00CB2130" w:rsidP="00CB2130">
      <w:pPr>
        <w:ind w:left="4254"/>
        <w:jc w:val="center"/>
        <w:rPr>
          <w:rFonts w:ascii="Times New Roman" w:hAnsi="Times New Roman"/>
          <w:b/>
          <w:caps/>
          <w:color w:val="auto"/>
          <w:sz w:val="28"/>
          <w:szCs w:val="28"/>
        </w:rPr>
      </w:pPr>
      <w:r w:rsidRPr="00CB2130">
        <w:rPr>
          <w:rFonts w:ascii="Times New Roman" w:hAnsi="Times New Roman"/>
          <w:b/>
          <w:caps/>
          <w:sz w:val="28"/>
          <w:szCs w:val="28"/>
        </w:rPr>
        <w:t>Конституційного Суду України</w:t>
      </w:r>
      <w:bookmarkEnd w:id="2"/>
    </w:p>
    <w:sectPr w:rsidR="002337C4" w:rsidRPr="00CB2130" w:rsidSect="002337C4">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8A" w:rsidRDefault="00D03A8A" w:rsidP="009657BF">
      <w:r>
        <w:separator/>
      </w:r>
    </w:p>
  </w:endnote>
  <w:endnote w:type="continuationSeparator" w:id="0">
    <w:p w:rsidR="00D03A8A" w:rsidRDefault="00D03A8A"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C4" w:rsidRPr="002337C4" w:rsidRDefault="002337C4">
    <w:pPr>
      <w:pStyle w:val="a6"/>
      <w:rPr>
        <w:rFonts w:ascii="Times New Roman" w:hAnsi="Times New Roman"/>
        <w:sz w:val="10"/>
        <w:szCs w:val="10"/>
      </w:rPr>
    </w:pPr>
    <w:r w:rsidRPr="002337C4">
      <w:rPr>
        <w:rFonts w:ascii="Times New Roman" w:hAnsi="Times New Roman"/>
        <w:sz w:val="10"/>
        <w:szCs w:val="10"/>
      </w:rPr>
      <w:fldChar w:fldCharType="begin"/>
    </w:r>
    <w:r w:rsidRPr="002337C4">
      <w:rPr>
        <w:rFonts w:ascii="Times New Roman" w:hAnsi="Times New Roman"/>
        <w:sz w:val="10"/>
        <w:szCs w:val="10"/>
      </w:rPr>
      <w:instrText xml:space="preserve"> FILENAME \p \* MERGEFORMAT </w:instrText>
    </w:r>
    <w:r w:rsidRPr="002337C4">
      <w:rPr>
        <w:rFonts w:ascii="Times New Roman" w:hAnsi="Times New Roman"/>
        <w:sz w:val="10"/>
        <w:szCs w:val="10"/>
      </w:rPr>
      <w:fldChar w:fldCharType="separate"/>
    </w:r>
    <w:r w:rsidR="00CB2130">
      <w:rPr>
        <w:rFonts w:ascii="Times New Roman" w:hAnsi="Times New Roman"/>
        <w:noProof/>
        <w:sz w:val="10"/>
        <w:szCs w:val="10"/>
      </w:rPr>
      <w:t>S:\Mashburo\2025\Suddi\Uhvala VP\173.docx</w:t>
    </w:r>
    <w:r w:rsidRPr="002337C4">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C4" w:rsidRPr="002337C4" w:rsidRDefault="002337C4">
    <w:pPr>
      <w:pStyle w:val="a6"/>
      <w:rPr>
        <w:rFonts w:ascii="Times New Roman" w:hAnsi="Times New Roman"/>
        <w:sz w:val="10"/>
        <w:szCs w:val="10"/>
      </w:rPr>
    </w:pPr>
    <w:r w:rsidRPr="002337C4">
      <w:rPr>
        <w:rFonts w:ascii="Times New Roman" w:hAnsi="Times New Roman"/>
        <w:sz w:val="10"/>
        <w:szCs w:val="10"/>
      </w:rPr>
      <w:fldChar w:fldCharType="begin"/>
    </w:r>
    <w:r w:rsidRPr="002337C4">
      <w:rPr>
        <w:rFonts w:ascii="Times New Roman" w:hAnsi="Times New Roman"/>
        <w:sz w:val="10"/>
        <w:szCs w:val="10"/>
      </w:rPr>
      <w:instrText xml:space="preserve"> FILENAME \p \* MERGEFORMAT </w:instrText>
    </w:r>
    <w:r w:rsidRPr="002337C4">
      <w:rPr>
        <w:rFonts w:ascii="Times New Roman" w:hAnsi="Times New Roman"/>
        <w:sz w:val="10"/>
        <w:szCs w:val="10"/>
      </w:rPr>
      <w:fldChar w:fldCharType="separate"/>
    </w:r>
    <w:r w:rsidR="00CB2130">
      <w:rPr>
        <w:rFonts w:ascii="Times New Roman" w:hAnsi="Times New Roman"/>
        <w:noProof/>
        <w:sz w:val="10"/>
        <w:szCs w:val="10"/>
      </w:rPr>
      <w:t>S:\Mashburo\2025\Suddi\Uhvala VP\173.docx</w:t>
    </w:r>
    <w:r w:rsidRPr="002337C4">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8A" w:rsidRDefault="00D03A8A" w:rsidP="009657BF">
      <w:r>
        <w:separator/>
      </w:r>
    </w:p>
  </w:footnote>
  <w:footnote w:type="continuationSeparator" w:id="0">
    <w:p w:rsidR="00D03A8A" w:rsidRDefault="00D03A8A"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CB2130" w:rsidRPr="00CB2130">
      <w:rPr>
        <w:noProof/>
        <w:sz w:val="28"/>
        <w:szCs w:val="28"/>
        <w:lang w:val="uk-UA"/>
      </w:rPr>
      <w:t>7</w:t>
    </w:r>
    <w:r w:rsidRPr="009657BF">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32A95"/>
    <w:rsid w:val="000336B1"/>
    <w:rsid w:val="000427D6"/>
    <w:rsid w:val="00093AA7"/>
    <w:rsid w:val="0009568E"/>
    <w:rsid w:val="000C4F90"/>
    <w:rsid w:val="000C7A71"/>
    <w:rsid w:val="000E76F1"/>
    <w:rsid w:val="0012069E"/>
    <w:rsid w:val="001658BA"/>
    <w:rsid w:val="001714F4"/>
    <w:rsid w:val="00180F4E"/>
    <w:rsid w:val="00186B5D"/>
    <w:rsid w:val="00187B21"/>
    <w:rsid w:val="001920BB"/>
    <w:rsid w:val="001A18CA"/>
    <w:rsid w:val="001A4F75"/>
    <w:rsid w:val="001B36AB"/>
    <w:rsid w:val="001B51D2"/>
    <w:rsid w:val="001C27EF"/>
    <w:rsid w:val="001E0E42"/>
    <w:rsid w:val="001E4829"/>
    <w:rsid w:val="001E5F36"/>
    <w:rsid w:val="001E6171"/>
    <w:rsid w:val="001F41F3"/>
    <w:rsid w:val="00207848"/>
    <w:rsid w:val="00213729"/>
    <w:rsid w:val="00217B07"/>
    <w:rsid w:val="002270BD"/>
    <w:rsid w:val="002337C4"/>
    <w:rsid w:val="00234264"/>
    <w:rsid w:val="00237301"/>
    <w:rsid w:val="002446ED"/>
    <w:rsid w:val="00244EBB"/>
    <w:rsid w:val="002579C1"/>
    <w:rsid w:val="00267F40"/>
    <w:rsid w:val="0029031F"/>
    <w:rsid w:val="00294CC6"/>
    <w:rsid w:val="002B6553"/>
    <w:rsid w:val="002E379D"/>
    <w:rsid w:val="002E3C9D"/>
    <w:rsid w:val="002F697F"/>
    <w:rsid w:val="00301C08"/>
    <w:rsid w:val="00302CED"/>
    <w:rsid w:val="00315859"/>
    <w:rsid w:val="00323647"/>
    <w:rsid w:val="00326051"/>
    <w:rsid w:val="00356CC2"/>
    <w:rsid w:val="00357A40"/>
    <w:rsid w:val="003623BB"/>
    <w:rsid w:val="00372D1D"/>
    <w:rsid w:val="00383158"/>
    <w:rsid w:val="0039056C"/>
    <w:rsid w:val="00396DA0"/>
    <w:rsid w:val="003B6C25"/>
    <w:rsid w:val="003D7E98"/>
    <w:rsid w:val="003E39B9"/>
    <w:rsid w:val="003E6814"/>
    <w:rsid w:val="003F304F"/>
    <w:rsid w:val="00415270"/>
    <w:rsid w:val="00453199"/>
    <w:rsid w:val="004562FD"/>
    <w:rsid w:val="00461664"/>
    <w:rsid w:val="00464771"/>
    <w:rsid w:val="00470B2C"/>
    <w:rsid w:val="00491676"/>
    <w:rsid w:val="004967CF"/>
    <w:rsid w:val="004977C5"/>
    <w:rsid w:val="004A0E00"/>
    <w:rsid w:val="004A4969"/>
    <w:rsid w:val="00537364"/>
    <w:rsid w:val="00540F2D"/>
    <w:rsid w:val="0054468A"/>
    <w:rsid w:val="00545774"/>
    <w:rsid w:val="00563603"/>
    <w:rsid w:val="00575FC1"/>
    <w:rsid w:val="00584213"/>
    <w:rsid w:val="005A4DD3"/>
    <w:rsid w:val="005A554F"/>
    <w:rsid w:val="005C54F6"/>
    <w:rsid w:val="005E08BC"/>
    <w:rsid w:val="005E1F20"/>
    <w:rsid w:val="006243F4"/>
    <w:rsid w:val="00640EC6"/>
    <w:rsid w:val="006513C6"/>
    <w:rsid w:val="00692892"/>
    <w:rsid w:val="006A1638"/>
    <w:rsid w:val="006E0AC7"/>
    <w:rsid w:val="006E4641"/>
    <w:rsid w:val="007454AE"/>
    <w:rsid w:val="00762D60"/>
    <w:rsid w:val="00782D15"/>
    <w:rsid w:val="00783833"/>
    <w:rsid w:val="007B1B28"/>
    <w:rsid w:val="007B1DD4"/>
    <w:rsid w:val="007B75F8"/>
    <w:rsid w:val="007D321D"/>
    <w:rsid w:val="007D61BF"/>
    <w:rsid w:val="007E261F"/>
    <w:rsid w:val="007E3C9F"/>
    <w:rsid w:val="007F3FE2"/>
    <w:rsid w:val="007F6493"/>
    <w:rsid w:val="008020C0"/>
    <w:rsid w:val="008931CB"/>
    <w:rsid w:val="008B684E"/>
    <w:rsid w:val="008C7D2C"/>
    <w:rsid w:val="008D1486"/>
    <w:rsid w:val="008E04FC"/>
    <w:rsid w:val="008E3DAF"/>
    <w:rsid w:val="008E54FE"/>
    <w:rsid w:val="008F2272"/>
    <w:rsid w:val="009041A7"/>
    <w:rsid w:val="00904247"/>
    <w:rsid w:val="00916E8B"/>
    <w:rsid w:val="0094374A"/>
    <w:rsid w:val="00947741"/>
    <w:rsid w:val="00964F05"/>
    <w:rsid w:val="009657BF"/>
    <w:rsid w:val="00965A12"/>
    <w:rsid w:val="009739E5"/>
    <w:rsid w:val="00981AAF"/>
    <w:rsid w:val="009C2D41"/>
    <w:rsid w:val="009C4458"/>
    <w:rsid w:val="009E1D94"/>
    <w:rsid w:val="009E345B"/>
    <w:rsid w:val="009E76C3"/>
    <w:rsid w:val="00A00F08"/>
    <w:rsid w:val="00A071D4"/>
    <w:rsid w:val="00A264B0"/>
    <w:rsid w:val="00A2661F"/>
    <w:rsid w:val="00A26CD8"/>
    <w:rsid w:val="00A43F27"/>
    <w:rsid w:val="00A560D6"/>
    <w:rsid w:val="00A7101F"/>
    <w:rsid w:val="00A86E45"/>
    <w:rsid w:val="00AA5D69"/>
    <w:rsid w:val="00AB4218"/>
    <w:rsid w:val="00AB56ED"/>
    <w:rsid w:val="00AD7967"/>
    <w:rsid w:val="00AF0BC2"/>
    <w:rsid w:val="00AF2A4F"/>
    <w:rsid w:val="00AF7F29"/>
    <w:rsid w:val="00B005CA"/>
    <w:rsid w:val="00B16860"/>
    <w:rsid w:val="00B35843"/>
    <w:rsid w:val="00B611C4"/>
    <w:rsid w:val="00B9223A"/>
    <w:rsid w:val="00B9733B"/>
    <w:rsid w:val="00BA7FDB"/>
    <w:rsid w:val="00BB316E"/>
    <w:rsid w:val="00BB79C5"/>
    <w:rsid w:val="00BC785E"/>
    <w:rsid w:val="00BE3F34"/>
    <w:rsid w:val="00C1032E"/>
    <w:rsid w:val="00C12229"/>
    <w:rsid w:val="00C156F8"/>
    <w:rsid w:val="00C3351F"/>
    <w:rsid w:val="00C340FF"/>
    <w:rsid w:val="00C36C37"/>
    <w:rsid w:val="00C41E63"/>
    <w:rsid w:val="00C449F0"/>
    <w:rsid w:val="00C85C7A"/>
    <w:rsid w:val="00C9132E"/>
    <w:rsid w:val="00C9151D"/>
    <w:rsid w:val="00CB2130"/>
    <w:rsid w:val="00CC4FA4"/>
    <w:rsid w:val="00CC6F29"/>
    <w:rsid w:val="00CD6B88"/>
    <w:rsid w:val="00CE5E0F"/>
    <w:rsid w:val="00D03661"/>
    <w:rsid w:val="00D03A8A"/>
    <w:rsid w:val="00D04202"/>
    <w:rsid w:val="00D16EA5"/>
    <w:rsid w:val="00D17FB1"/>
    <w:rsid w:val="00D220AA"/>
    <w:rsid w:val="00D262F7"/>
    <w:rsid w:val="00D41773"/>
    <w:rsid w:val="00D52008"/>
    <w:rsid w:val="00D71EFB"/>
    <w:rsid w:val="00D825D1"/>
    <w:rsid w:val="00D95A97"/>
    <w:rsid w:val="00DA306C"/>
    <w:rsid w:val="00DA32ED"/>
    <w:rsid w:val="00DC0C65"/>
    <w:rsid w:val="00DE1090"/>
    <w:rsid w:val="00DF35CF"/>
    <w:rsid w:val="00E0257A"/>
    <w:rsid w:val="00E277FC"/>
    <w:rsid w:val="00E51325"/>
    <w:rsid w:val="00E61CD3"/>
    <w:rsid w:val="00E90B9F"/>
    <w:rsid w:val="00EA0F96"/>
    <w:rsid w:val="00EB1624"/>
    <w:rsid w:val="00EC7256"/>
    <w:rsid w:val="00F17DA9"/>
    <w:rsid w:val="00F20882"/>
    <w:rsid w:val="00F23304"/>
    <w:rsid w:val="00F42A00"/>
    <w:rsid w:val="00F43CFA"/>
    <w:rsid w:val="00F522C4"/>
    <w:rsid w:val="00F57B3D"/>
    <w:rsid w:val="00F60CD9"/>
    <w:rsid w:val="00F62956"/>
    <w:rsid w:val="00F63A75"/>
    <w:rsid w:val="00F8691B"/>
    <w:rsid w:val="00F931EE"/>
    <w:rsid w:val="00FA0CC6"/>
    <w:rsid w:val="00FC0B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6779"/>
  <w15:chartTrackingRefBased/>
  <w15:docId w15:val="{7C7A9179-E320-45F4-8884-7396EE5B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paragraph" w:styleId="aa">
    <w:name w:val="footnote text"/>
    <w:basedOn w:val="a"/>
    <w:link w:val="ab"/>
    <w:uiPriority w:val="99"/>
    <w:unhideWhenUsed/>
    <w:rsid w:val="00356CC2"/>
    <w:rPr>
      <w:rFonts w:ascii="Calibri" w:eastAsia="Calibri" w:hAnsi="Calibri"/>
      <w:color w:val="auto"/>
      <w:sz w:val="20"/>
      <w:szCs w:val="20"/>
      <w:lang w:eastAsia="en-US"/>
    </w:rPr>
  </w:style>
  <w:style w:type="character" w:customStyle="1" w:styleId="ab">
    <w:name w:val="Текст виноски Знак"/>
    <w:link w:val="aa"/>
    <w:uiPriority w:val="99"/>
    <w:rsid w:val="00356CC2"/>
    <w:rPr>
      <w:rFonts w:ascii="Calibri" w:hAnsi="Calibri" w:cs="Times New Roman"/>
      <w:lang w:eastAsia="en-US"/>
    </w:rPr>
  </w:style>
  <w:style w:type="character" w:styleId="ac">
    <w:name w:val="footnote reference"/>
    <w:uiPriority w:val="99"/>
    <w:unhideWhenUsed/>
    <w:rsid w:val="00356CC2"/>
    <w:rPr>
      <w:vertAlign w:val="superscript"/>
    </w:rPr>
  </w:style>
  <w:style w:type="character" w:styleId="ad">
    <w:name w:val="Hyperlink"/>
    <w:uiPriority w:val="99"/>
    <w:unhideWhenUsed/>
    <w:rsid w:val="00A7101F"/>
    <w:rPr>
      <w:color w:val="0563C1"/>
      <w:u w:val="single"/>
    </w:rPr>
  </w:style>
  <w:style w:type="character" w:customStyle="1" w:styleId="11">
    <w:name w:val="Заголовок №1_"/>
    <w:link w:val="12"/>
    <w:rsid w:val="006E4641"/>
    <w:rPr>
      <w:rFonts w:eastAsia="Times New Roman" w:cs="Times New Roman"/>
      <w:b/>
      <w:bCs/>
      <w:sz w:val="28"/>
      <w:szCs w:val="28"/>
      <w:shd w:val="clear" w:color="auto" w:fill="FFFFFF"/>
    </w:rPr>
  </w:style>
  <w:style w:type="paragraph" w:customStyle="1" w:styleId="12">
    <w:name w:val="Заголовок №1"/>
    <w:basedOn w:val="a"/>
    <w:link w:val="11"/>
    <w:rsid w:val="006E4641"/>
    <w:pPr>
      <w:widowControl w:val="0"/>
      <w:shd w:val="clear" w:color="auto" w:fill="FFFFFF"/>
      <w:spacing w:before="1020" w:line="490" w:lineRule="exact"/>
      <w:jc w:val="center"/>
      <w:outlineLvl w:val="0"/>
    </w:pPr>
    <w:rPr>
      <w:rFonts w:ascii="Times New Roman" w:hAnsi="Times New Roman"/>
      <w:b/>
      <w:bCs/>
      <w:color w:val="auto"/>
      <w:sz w:val="28"/>
      <w:szCs w:val="28"/>
      <w:lang w:eastAsia="uk-UA"/>
    </w:rPr>
  </w:style>
  <w:style w:type="table" w:styleId="ae">
    <w:name w:val="Table Grid"/>
    <w:basedOn w:val="a1"/>
    <w:uiPriority w:val="39"/>
    <w:rsid w:val="002337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3629">
      <w:bodyDiv w:val="1"/>
      <w:marLeft w:val="0"/>
      <w:marRight w:val="0"/>
      <w:marTop w:val="0"/>
      <w:marBottom w:val="0"/>
      <w:divBdr>
        <w:top w:val="none" w:sz="0" w:space="0" w:color="auto"/>
        <w:left w:val="none" w:sz="0" w:space="0" w:color="auto"/>
        <w:bottom w:val="none" w:sz="0" w:space="0" w:color="auto"/>
        <w:right w:val="none" w:sz="0" w:space="0" w:color="auto"/>
      </w:divBdr>
    </w:div>
    <w:div w:id="151063500">
      <w:bodyDiv w:val="1"/>
      <w:marLeft w:val="0"/>
      <w:marRight w:val="0"/>
      <w:marTop w:val="0"/>
      <w:marBottom w:val="0"/>
      <w:divBdr>
        <w:top w:val="none" w:sz="0" w:space="0" w:color="auto"/>
        <w:left w:val="none" w:sz="0" w:space="0" w:color="auto"/>
        <w:bottom w:val="none" w:sz="0" w:space="0" w:color="auto"/>
        <w:right w:val="none" w:sz="0" w:space="0" w:color="auto"/>
      </w:divBdr>
    </w:div>
    <w:div w:id="153423435">
      <w:bodyDiv w:val="1"/>
      <w:marLeft w:val="0"/>
      <w:marRight w:val="0"/>
      <w:marTop w:val="0"/>
      <w:marBottom w:val="0"/>
      <w:divBdr>
        <w:top w:val="none" w:sz="0" w:space="0" w:color="auto"/>
        <w:left w:val="none" w:sz="0" w:space="0" w:color="auto"/>
        <w:bottom w:val="none" w:sz="0" w:space="0" w:color="auto"/>
        <w:right w:val="none" w:sz="0" w:space="0" w:color="auto"/>
      </w:divBdr>
    </w:div>
    <w:div w:id="339939394">
      <w:bodyDiv w:val="1"/>
      <w:marLeft w:val="0"/>
      <w:marRight w:val="0"/>
      <w:marTop w:val="0"/>
      <w:marBottom w:val="0"/>
      <w:divBdr>
        <w:top w:val="none" w:sz="0" w:space="0" w:color="auto"/>
        <w:left w:val="none" w:sz="0" w:space="0" w:color="auto"/>
        <w:bottom w:val="none" w:sz="0" w:space="0" w:color="auto"/>
        <w:right w:val="none" w:sz="0" w:space="0" w:color="auto"/>
      </w:divBdr>
    </w:div>
    <w:div w:id="416559327">
      <w:bodyDiv w:val="1"/>
      <w:marLeft w:val="0"/>
      <w:marRight w:val="0"/>
      <w:marTop w:val="0"/>
      <w:marBottom w:val="0"/>
      <w:divBdr>
        <w:top w:val="none" w:sz="0" w:space="0" w:color="auto"/>
        <w:left w:val="none" w:sz="0" w:space="0" w:color="auto"/>
        <w:bottom w:val="none" w:sz="0" w:space="0" w:color="auto"/>
        <w:right w:val="none" w:sz="0" w:space="0" w:color="auto"/>
      </w:divBdr>
    </w:div>
    <w:div w:id="575284660">
      <w:bodyDiv w:val="1"/>
      <w:marLeft w:val="0"/>
      <w:marRight w:val="0"/>
      <w:marTop w:val="0"/>
      <w:marBottom w:val="0"/>
      <w:divBdr>
        <w:top w:val="none" w:sz="0" w:space="0" w:color="auto"/>
        <w:left w:val="none" w:sz="0" w:space="0" w:color="auto"/>
        <w:bottom w:val="none" w:sz="0" w:space="0" w:color="auto"/>
        <w:right w:val="none" w:sz="0" w:space="0" w:color="auto"/>
      </w:divBdr>
    </w:div>
    <w:div w:id="590939288">
      <w:bodyDiv w:val="1"/>
      <w:marLeft w:val="0"/>
      <w:marRight w:val="0"/>
      <w:marTop w:val="0"/>
      <w:marBottom w:val="0"/>
      <w:divBdr>
        <w:top w:val="none" w:sz="0" w:space="0" w:color="auto"/>
        <w:left w:val="none" w:sz="0" w:space="0" w:color="auto"/>
        <w:bottom w:val="none" w:sz="0" w:space="0" w:color="auto"/>
        <w:right w:val="none" w:sz="0" w:space="0" w:color="auto"/>
      </w:divBdr>
    </w:div>
    <w:div w:id="641270457">
      <w:bodyDiv w:val="1"/>
      <w:marLeft w:val="0"/>
      <w:marRight w:val="0"/>
      <w:marTop w:val="0"/>
      <w:marBottom w:val="0"/>
      <w:divBdr>
        <w:top w:val="none" w:sz="0" w:space="0" w:color="auto"/>
        <w:left w:val="none" w:sz="0" w:space="0" w:color="auto"/>
        <w:bottom w:val="none" w:sz="0" w:space="0" w:color="auto"/>
        <w:right w:val="none" w:sz="0" w:space="0" w:color="auto"/>
      </w:divBdr>
    </w:div>
    <w:div w:id="653487140">
      <w:bodyDiv w:val="1"/>
      <w:marLeft w:val="0"/>
      <w:marRight w:val="0"/>
      <w:marTop w:val="0"/>
      <w:marBottom w:val="0"/>
      <w:divBdr>
        <w:top w:val="none" w:sz="0" w:space="0" w:color="auto"/>
        <w:left w:val="none" w:sz="0" w:space="0" w:color="auto"/>
        <w:bottom w:val="none" w:sz="0" w:space="0" w:color="auto"/>
        <w:right w:val="none" w:sz="0" w:space="0" w:color="auto"/>
      </w:divBdr>
    </w:div>
    <w:div w:id="790784384">
      <w:bodyDiv w:val="1"/>
      <w:marLeft w:val="0"/>
      <w:marRight w:val="0"/>
      <w:marTop w:val="0"/>
      <w:marBottom w:val="0"/>
      <w:divBdr>
        <w:top w:val="none" w:sz="0" w:space="0" w:color="auto"/>
        <w:left w:val="none" w:sz="0" w:space="0" w:color="auto"/>
        <w:bottom w:val="none" w:sz="0" w:space="0" w:color="auto"/>
        <w:right w:val="none" w:sz="0" w:space="0" w:color="auto"/>
      </w:divBdr>
    </w:div>
    <w:div w:id="836651736">
      <w:bodyDiv w:val="1"/>
      <w:marLeft w:val="0"/>
      <w:marRight w:val="0"/>
      <w:marTop w:val="0"/>
      <w:marBottom w:val="0"/>
      <w:divBdr>
        <w:top w:val="none" w:sz="0" w:space="0" w:color="auto"/>
        <w:left w:val="none" w:sz="0" w:space="0" w:color="auto"/>
        <w:bottom w:val="none" w:sz="0" w:space="0" w:color="auto"/>
        <w:right w:val="none" w:sz="0" w:space="0" w:color="auto"/>
      </w:divBdr>
    </w:div>
    <w:div w:id="844049703">
      <w:bodyDiv w:val="1"/>
      <w:marLeft w:val="0"/>
      <w:marRight w:val="0"/>
      <w:marTop w:val="0"/>
      <w:marBottom w:val="0"/>
      <w:divBdr>
        <w:top w:val="none" w:sz="0" w:space="0" w:color="auto"/>
        <w:left w:val="none" w:sz="0" w:space="0" w:color="auto"/>
        <w:bottom w:val="none" w:sz="0" w:space="0" w:color="auto"/>
        <w:right w:val="none" w:sz="0" w:space="0" w:color="auto"/>
      </w:divBdr>
    </w:div>
    <w:div w:id="1215656058">
      <w:bodyDiv w:val="1"/>
      <w:marLeft w:val="0"/>
      <w:marRight w:val="0"/>
      <w:marTop w:val="0"/>
      <w:marBottom w:val="0"/>
      <w:divBdr>
        <w:top w:val="none" w:sz="0" w:space="0" w:color="auto"/>
        <w:left w:val="none" w:sz="0" w:space="0" w:color="auto"/>
        <w:bottom w:val="none" w:sz="0" w:space="0" w:color="auto"/>
        <w:right w:val="none" w:sz="0" w:space="0" w:color="auto"/>
      </w:divBdr>
    </w:div>
    <w:div w:id="1473791527">
      <w:bodyDiv w:val="1"/>
      <w:marLeft w:val="0"/>
      <w:marRight w:val="0"/>
      <w:marTop w:val="0"/>
      <w:marBottom w:val="0"/>
      <w:divBdr>
        <w:top w:val="none" w:sz="0" w:space="0" w:color="auto"/>
        <w:left w:val="none" w:sz="0" w:space="0" w:color="auto"/>
        <w:bottom w:val="none" w:sz="0" w:space="0" w:color="auto"/>
        <w:right w:val="none" w:sz="0" w:space="0" w:color="auto"/>
      </w:divBdr>
    </w:div>
    <w:div w:id="1654406134">
      <w:bodyDiv w:val="1"/>
      <w:marLeft w:val="0"/>
      <w:marRight w:val="0"/>
      <w:marTop w:val="0"/>
      <w:marBottom w:val="0"/>
      <w:divBdr>
        <w:top w:val="none" w:sz="0" w:space="0" w:color="auto"/>
        <w:left w:val="none" w:sz="0" w:space="0" w:color="auto"/>
        <w:bottom w:val="none" w:sz="0" w:space="0" w:color="auto"/>
        <w:right w:val="none" w:sz="0" w:space="0" w:color="auto"/>
      </w:divBdr>
    </w:div>
    <w:div w:id="1745373965">
      <w:bodyDiv w:val="1"/>
      <w:marLeft w:val="0"/>
      <w:marRight w:val="0"/>
      <w:marTop w:val="0"/>
      <w:marBottom w:val="0"/>
      <w:divBdr>
        <w:top w:val="none" w:sz="0" w:space="0" w:color="auto"/>
        <w:left w:val="none" w:sz="0" w:space="0" w:color="auto"/>
        <w:bottom w:val="none" w:sz="0" w:space="0" w:color="auto"/>
        <w:right w:val="none" w:sz="0" w:space="0" w:color="auto"/>
      </w:divBdr>
    </w:div>
    <w:div w:id="1965767682">
      <w:bodyDiv w:val="1"/>
      <w:marLeft w:val="0"/>
      <w:marRight w:val="0"/>
      <w:marTop w:val="0"/>
      <w:marBottom w:val="0"/>
      <w:divBdr>
        <w:top w:val="none" w:sz="0" w:space="0" w:color="auto"/>
        <w:left w:val="none" w:sz="0" w:space="0" w:color="auto"/>
        <w:bottom w:val="none" w:sz="0" w:space="0" w:color="auto"/>
        <w:right w:val="none" w:sz="0" w:space="0" w:color="auto"/>
      </w:divBdr>
    </w:div>
    <w:div w:id="20524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C5F85-43FB-4D9E-997A-849D265A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7036</Words>
  <Characters>4012</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11026</CharactersWithSpaces>
  <SharedDoc>false</SharedDoc>
  <HLinks>
    <vt:vector size="6" baseType="variant">
      <vt:variant>
        <vt:i4>5963867</vt:i4>
      </vt:variant>
      <vt:variant>
        <vt:i4>0</vt:i4>
      </vt:variant>
      <vt:variant>
        <vt:i4>0</vt:i4>
      </vt:variant>
      <vt:variant>
        <vt:i4>5</vt:i4>
      </vt:variant>
      <vt:variant>
        <vt:lpwstr>https://zakon.rada.gov.ua/laws/show/254%D0%BA/96-%D0%B2%D1%80</vt:lpwstr>
      </vt:variant>
      <vt:variant>
        <vt:lpwstr>n4948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Валентина М. Поліщук</cp:lastModifiedBy>
  <cp:revision>7</cp:revision>
  <cp:lastPrinted>2025-10-09T10:51:00Z</cp:lastPrinted>
  <dcterms:created xsi:type="dcterms:W3CDTF">2025-10-07T12:46:00Z</dcterms:created>
  <dcterms:modified xsi:type="dcterms:W3CDTF">2025-10-09T10:51:00Z</dcterms:modified>
</cp:coreProperties>
</file>