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5AC" w:rsidRPr="000656AD" w:rsidRDefault="00A541D1" w:rsidP="00CD2A71">
      <w:pPr>
        <w:ind w:right="50"/>
        <w:jc w:val="both"/>
        <w:rPr>
          <w:b/>
          <w:bCs/>
          <w:sz w:val="28"/>
          <w:szCs w:val="28"/>
          <w:lang w:val="en-GB"/>
        </w:rPr>
      </w:pPr>
      <w:bookmarkStart w:id="0" w:name="_GoBack"/>
      <w:bookmarkEnd w:id="0"/>
      <w:r>
        <w:rPr>
          <w:b/>
          <w:bCs/>
          <w:sz w:val="28"/>
          <w:szCs w:val="28"/>
          <w:lang w:val="en-GB"/>
        </w:rPr>
        <w:t>Summary to</w:t>
      </w:r>
      <w:r w:rsidR="00CD2A71" w:rsidRPr="000656AD">
        <w:rPr>
          <w:b/>
          <w:bCs/>
          <w:sz w:val="28"/>
          <w:szCs w:val="28"/>
          <w:lang w:val="en-GB"/>
        </w:rPr>
        <w:t xml:space="preserve"> the Decision of the Second Senate of the Constitutional Court of Ukraine No. 9-r(II)/2026 dated 21 July 2026 in the case upon the constitutional complaint of Roman Dudin concerning the conformity of the fifth paragraph of Article 182.5 of the Code of Criminal Procedure of Ukraine with the Constitution of Ukraine (constitutionality) (regarding ensuring the availability of bail as an alternative to detention)</w:t>
      </w:r>
    </w:p>
    <w:p w:rsidR="00310627" w:rsidRPr="000656AD" w:rsidRDefault="00310627" w:rsidP="00873E31">
      <w:pPr>
        <w:ind w:right="50"/>
        <w:jc w:val="both"/>
        <w:rPr>
          <w:sz w:val="28"/>
          <w:szCs w:val="28"/>
          <w:lang w:val="en-GB"/>
        </w:rPr>
      </w:pP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Roman Dudin lodged a constitutional complaint with the Constitutional Court to examine the conformity of the fifth paragraph of Article 182.5 of the Code of Criminal Procedure of Ukraine (hereinafter</w:t>
      </w:r>
      <w:r w:rsidR="00757437">
        <w:rPr>
          <w:sz w:val="28"/>
          <w:szCs w:val="28"/>
          <w:lang w:val="en-US"/>
        </w:rPr>
        <w:t xml:space="preserve">, </w:t>
      </w:r>
      <w:r w:rsidRPr="000656AD">
        <w:rPr>
          <w:sz w:val="28"/>
          <w:szCs w:val="28"/>
          <w:lang w:val="en-GB"/>
        </w:rPr>
        <w:t xml:space="preserve">the </w:t>
      </w:r>
      <w:r w:rsidR="00757437">
        <w:rPr>
          <w:sz w:val="28"/>
          <w:szCs w:val="28"/>
          <w:lang w:val="en-GB"/>
        </w:rPr>
        <w:t>“</w:t>
      </w:r>
      <w:r w:rsidRPr="000656AD">
        <w:rPr>
          <w:sz w:val="28"/>
          <w:szCs w:val="28"/>
          <w:lang w:val="en-GB"/>
        </w:rPr>
        <w:t>Code</w:t>
      </w:r>
      <w:r w:rsidR="00757437">
        <w:rPr>
          <w:sz w:val="28"/>
          <w:szCs w:val="28"/>
          <w:lang w:val="en-GB"/>
        </w:rPr>
        <w:t>”</w:t>
      </w:r>
      <w:r w:rsidRPr="000656AD">
        <w:rPr>
          <w:sz w:val="28"/>
          <w:szCs w:val="28"/>
          <w:lang w:val="en-GB"/>
        </w:rPr>
        <w:t>) with the Constitution of Ukraine (constitutionality), according to which “in exceptional cases, if an investigating judge or court establishes that bail within the specified limits is unable to ensure the fulfilment by a person suspected or accused of committing a serious or particularly serious crime of the obligations imposed on that person, bail may be set in an amount exceeding eighty or three hundred subsistence minimums for able-bodied persons respectively”.</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Although bail is not expressly referred to in the Constitution of Ukraine, in the context of constitutional values and provisions, in particular the requirements of Article</w:t>
      </w:r>
      <w:r w:rsidR="00C85573">
        <w:rPr>
          <w:sz w:val="28"/>
          <w:szCs w:val="28"/>
          <w:lang w:val="en-GB"/>
        </w:rPr>
        <w:t> </w:t>
      </w:r>
      <w:r w:rsidRPr="000656AD">
        <w:rPr>
          <w:sz w:val="28"/>
          <w:szCs w:val="28"/>
          <w:lang w:val="en-GB"/>
        </w:rPr>
        <w:t>29.1 of the Fundamental Law, which guarantees the right to liberty and security of person, the Constitutional Court of Ukraine held that the determination of the amount of bail for a person in respect of whom detention has been imposed as a preventive measure shall be based on certain principles.</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The Constitutional Court notes that the legislative regulation of bail requires individualisation with regard to the person suspected or accused, as well as the circumstances of the criminal proceedings; that is, the amount of bail must be significant for the person, but not such as to make its alternative nature to detention in practice impossible.</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The Constitutional Court notes that the contested provisions of the Code concern exceptional cases in which, in order for the institution of bail to fulfil its functional purpose and to achieve an appropriate balance between individual and public interests, an investigating judge or court is empowered to set bail exceeding the maximum amounts established by the Code.</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The Constitutional Court concluded that the fifth paragraph of Article 182.5 of the Code, in conjunction with the provisions of Articles 182.4 and 183.3 of the Code, establishes parameters (circumstances, risks) enabling an investigating judge or court, in a reasoned decision and on the basis of an individual assessment of such parameters, to determine a fair and proportionate amount of bail, including in cases where bail within the limits established by the Code (eighty or three hundred subsistence minimums for able-bodied persons respectively) is unable to ensure the fulfilment by a person suspected or accused of committing a serious or particularly serious crime of the obligations imposed on that person in criminal proceedings.</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 xml:space="preserve">When examining the purpose of the fifth paragraph of Article 182.5 of the Code, the Constitutional Court takes into account that the contested provisions of the Code, </w:t>
      </w:r>
      <w:r w:rsidRPr="000656AD">
        <w:rPr>
          <w:sz w:val="28"/>
          <w:szCs w:val="28"/>
          <w:lang w:val="en-GB"/>
        </w:rPr>
        <w:lastRenderedPageBreak/>
        <w:t>in conjunction with other provisions of the Code, require consideration of the person’s financial situation and therefore enable an investigating judge or court, on the basis of an individual assessment, to determine such an amount of bail for that person which has a deterrent effect for each person, irrespective of their financial situation.</w:t>
      </w:r>
    </w:p>
    <w:p w:rsidR="000656AD" w:rsidRPr="000656AD" w:rsidRDefault="000656AD" w:rsidP="000656AD">
      <w:pPr>
        <w:autoSpaceDE/>
        <w:autoSpaceDN/>
        <w:adjustRightInd/>
        <w:ind w:firstLine="567"/>
        <w:jc w:val="both"/>
        <w:rPr>
          <w:sz w:val="28"/>
          <w:szCs w:val="28"/>
          <w:lang w:val="en-GB"/>
        </w:rPr>
      </w:pPr>
      <w:r w:rsidRPr="000656AD">
        <w:rPr>
          <w:sz w:val="28"/>
          <w:szCs w:val="28"/>
          <w:lang w:val="en-GB"/>
        </w:rPr>
        <w:t>The Constitutional Court of Ukraine states:</w:t>
      </w:r>
    </w:p>
    <w:p w:rsidR="000656AD" w:rsidRPr="000656AD" w:rsidRDefault="000656AD" w:rsidP="000656AD">
      <w:pPr>
        <w:numPr>
          <w:ilvl w:val="0"/>
          <w:numId w:val="4"/>
        </w:numPr>
        <w:autoSpaceDE/>
        <w:autoSpaceDN/>
        <w:adjustRightInd/>
        <w:ind w:firstLine="567"/>
        <w:jc w:val="both"/>
        <w:rPr>
          <w:sz w:val="28"/>
          <w:szCs w:val="28"/>
          <w:lang w:val="en-GB"/>
        </w:rPr>
      </w:pPr>
      <w:r w:rsidRPr="000656AD">
        <w:rPr>
          <w:sz w:val="28"/>
          <w:szCs w:val="28"/>
          <w:lang w:val="en-GB"/>
        </w:rPr>
        <w:t xml:space="preserve">in order to genuinely achieve the purpose of bail as an alternative to detention as a preventive measure, when determining the amount of bail in exceptional cases, an investigating judge or court shall, in its judicial decision, provide arguments confirming the determination of the amount of bail beyond the maximum limits established by the contested provisions of the Code; </w:t>
      </w:r>
    </w:p>
    <w:p w:rsidR="000656AD" w:rsidRPr="000656AD" w:rsidRDefault="000656AD" w:rsidP="000656AD">
      <w:pPr>
        <w:numPr>
          <w:ilvl w:val="0"/>
          <w:numId w:val="4"/>
        </w:numPr>
        <w:autoSpaceDE/>
        <w:autoSpaceDN/>
        <w:adjustRightInd/>
        <w:ind w:firstLine="567"/>
        <w:jc w:val="both"/>
        <w:rPr>
          <w:sz w:val="28"/>
          <w:szCs w:val="28"/>
          <w:lang w:val="en-GB"/>
        </w:rPr>
      </w:pPr>
      <w:r w:rsidRPr="000656AD">
        <w:rPr>
          <w:sz w:val="28"/>
          <w:szCs w:val="28"/>
          <w:lang w:val="en-GB"/>
        </w:rPr>
        <w:t xml:space="preserve">in order to prevent bail from becoming a disguised form of detention of a person, an investigating judge or court, when determining the amount of bail in a judicial decision, shall substantiate the person’s financial capacity, assess their lawful income and assets, take into account not only the amount of damage caused by the criminal offence but also other circumstances established by the Code, as well as the existence of persons dependent on that person; at the same time, the assets necessary for payment of the determined amount of bail must be accessible to the person suspected or accused; in particular, the circumstance that served as the basis for imposing seizure of the person’s property within the framework of criminal proceedings shall be taken into account; </w:t>
      </w:r>
    </w:p>
    <w:p w:rsidR="000656AD" w:rsidRDefault="000656AD" w:rsidP="000656AD">
      <w:pPr>
        <w:numPr>
          <w:ilvl w:val="0"/>
          <w:numId w:val="4"/>
        </w:numPr>
        <w:autoSpaceDE/>
        <w:autoSpaceDN/>
        <w:adjustRightInd/>
        <w:ind w:firstLine="567"/>
        <w:jc w:val="both"/>
        <w:rPr>
          <w:sz w:val="28"/>
          <w:szCs w:val="28"/>
          <w:lang w:val="en-GB"/>
        </w:rPr>
      </w:pPr>
      <w:r w:rsidRPr="000656AD">
        <w:rPr>
          <w:sz w:val="28"/>
          <w:szCs w:val="28"/>
          <w:lang w:val="en-GB"/>
        </w:rPr>
        <w:t>an investigating judge or court shall carefully reason the amount of bail, in particular by referring to documents concerning the person’s financial situation, justify each component forming the total amount of bail, avoid assumptions regarding the person’s financial capacity, indicate why precisely such amount of bail is sufficient to prevent the risk of the person absconding from the pre-trial investigation authorities and the court, and take into account the person’s social ties (family and other personal contacts), as well as ties abroad.</w:t>
      </w:r>
    </w:p>
    <w:p w:rsidR="00A541D1" w:rsidRPr="00A541D1" w:rsidRDefault="00A541D1" w:rsidP="00A541D1">
      <w:pPr>
        <w:ind w:firstLine="567"/>
        <w:jc w:val="both"/>
        <w:rPr>
          <w:sz w:val="28"/>
          <w:szCs w:val="28"/>
          <w:lang w:val="en-GB"/>
        </w:rPr>
      </w:pPr>
      <w:r>
        <w:rPr>
          <w:sz w:val="28"/>
          <w:szCs w:val="28"/>
          <w:lang w:val="en-GB"/>
        </w:rPr>
        <w:t>Thus, the Constitutional Court of Ukraine declared t</w:t>
      </w:r>
      <w:r w:rsidRPr="00A541D1">
        <w:rPr>
          <w:sz w:val="28"/>
          <w:szCs w:val="28"/>
          <w:lang w:val="en-GB"/>
        </w:rPr>
        <w:t>he fifth paragraph of Article</w:t>
      </w:r>
      <w:r>
        <w:rPr>
          <w:sz w:val="28"/>
          <w:szCs w:val="28"/>
          <w:lang w:val="en-GB"/>
        </w:rPr>
        <w:t> </w:t>
      </w:r>
      <w:r w:rsidRPr="00A541D1">
        <w:rPr>
          <w:sz w:val="28"/>
          <w:szCs w:val="28"/>
          <w:lang w:val="en-GB"/>
        </w:rPr>
        <w:t>182.5 of the Code of Criminal Procedure of Ukraine to be consistent with the Constitution of Ukraine (constitutional).</w:t>
      </w:r>
    </w:p>
    <w:p w:rsidR="00A95C93" w:rsidRPr="00A95C93" w:rsidRDefault="00A95C93" w:rsidP="00A95C93">
      <w:pPr>
        <w:autoSpaceDE/>
        <w:autoSpaceDN/>
        <w:adjustRightInd/>
        <w:spacing w:before="100" w:beforeAutospacing="1" w:after="100" w:afterAutospacing="1"/>
        <w:rPr>
          <w:sz w:val="28"/>
          <w:szCs w:val="28"/>
          <w:u w:val="single"/>
          <w:lang w:val="en-GB"/>
        </w:rPr>
      </w:pPr>
      <w:r w:rsidRPr="000656AD">
        <w:rPr>
          <w:b/>
          <w:bCs/>
          <w:sz w:val="28"/>
          <w:szCs w:val="28"/>
          <w:u w:val="single"/>
          <w:lang w:val="en-GB"/>
        </w:rPr>
        <w:t>Supplementary information:</w:t>
      </w:r>
    </w:p>
    <w:p w:rsidR="00A95C93" w:rsidRPr="00A95C93" w:rsidRDefault="00A95C93" w:rsidP="00A95C93">
      <w:pPr>
        <w:numPr>
          <w:ilvl w:val="0"/>
          <w:numId w:val="1"/>
        </w:numPr>
        <w:autoSpaceDE/>
        <w:autoSpaceDN/>
        <w:adjustRightInd/>
        <w:spacing w:before="100" w:beforeAutospacing="1" w:after="100" w:afterAutospacing="1"/>
        <w:rPr>
          <w:sz w:val="28"/>
          <w:szCs w:val="28"/>
          <w:lang w:val="en-GB"/>
        </w:rPr>
      </w:pPr>
      <w:r w:rsidRPr="00A95C93">
        <w:rPr>
          <w:sz w:val="28"/>
          <w:szCs w:val="28"/>
          <w:lang w:val="en-GB"/>
        </w:rPr>
        <w:t xml:space="preserve">International Covenant on Civil and Political Rights of 1966; </w:t>
      </w:r>
    </w:p>
    <w:p w:rsidR="00A95C93" w:rsidRPr="00A95C93" w:rsidRDefault="00A95C93" w:rsidP="00A95C93">
      <w:pPr>
        <w:numPr>
          <w:ilvl w:val="0"/>
          <w:numId w:val="1"/>
        </w:numPr>
        <w:autoSpaceDE/>
        <w:autoSpaceDN/>
        <w:adjustRightInd/>
        <w:spacing w:before="100" w:beforeAutospacing="1" w:after="100" w:afterAutospacing="1"/>
        <w:rPr>
          <w:sz w:val="28"/>
          <w:szCs w:val="28"/>
          <w:lang w:val="en-GB"/>
        </w:rPr>
      </w:pPr>
      <w:r w:rsidRPr="00A95C93">
        <w:rPr>
          <w:sz w:val="28"/>
          <w:szCs w:val="28"/>
          <w:lang w:val="en-GB"/>
        </w:rPr>
        <w:t xml:space="preserve">Convention for the Protection of Human Rights and Fundamental Freedoms of 1950; </w:t>
      </w:r>
    </w:p>
    <w:p w:rsidR="00A95C93" w:rsidRPr="00A95C93" w:rsidRDefault="00A95C93" w:rsidP="00A95C93">
      <w:pPr>
        <w:numPr>
          <w:ilvl w:val="0"/>
          <w:numId w:val="1"/>
        </w:numPr>
        <w:autoSpaceDE/>
        <w:autoSpaceDN/>
        <w:adjustRightInd/>
        <w:spacing w:before="100" w:beforeAutospacing="1" w:after="100" w:afterAutospacing="1"/>
        <w:rPr>
          <w:sz w:val="28"/>
          <w:szCs w:val="28"/>
          <w:lang w:val="en-GB"/>
        </w:rPr>
      </w:pPr>
      <w:r w:rsidRPr="00A95C93">
        <w:rPr>
          <w:sz w:val="28"/>
          <w:szCs w:val="28"/>
          <w:lang w:val="en-GB"/>
        </w:rPr>
        <w:t xml:space="preserve">General Comment No. 35 on Article 9 of the Covenant, adopted by the United Nations Human Rights Committee at its session of 7–31 October 2014; </w:t>
      </w:r>
    </w:p>
    <w:p w:rsidR="00A95C93" w:rsidRPr="00A95C93" w:rsidRDefault="00A95C93" w:rsidP="00A95C93">
      <w:pPr>
        <w:numPr>
          <w:ilvl w:val="0"/>
          <w:numId w:val="1"/>
        </w:numPr>
        <w:autoSpaceDE/>
        <w:autoSpaceDN/>
        <w:adjustRightInd/>
        <w:spacing w:before="100" w:beforeAutospacing="1" w:after="100" w:afterAutospacing="1"/>
        <w:rPr>
          <w:sz w:val="28"/>
          <w:szCs w:val="28"/>
          <w:lang w:val="en-GB"/>
        </w:rPr>
      </w:pPr>
      <w:r w:rsidRPr="00A95C93">
        <w:rPr>
          <w:sz w:val="28"/>
          <w:szCs w:val="28"/>
          <w:lang w:val="en-GB"/>
        </w:rPr>
        <w:t xml:space="preserve">Recommendation Rec(2006)13 of the Committee of Ministers of the Council of Europe of 27 September 2006 to member States on the use of remand in </w:t>
      </w:r>
      <w:r w:rsidRPr="00A95C93">
        <w:rPr>
          <w:sz w:val="28"/>
          <w:szCs w:val="28"/>
          <w:lang w:val="en-GB"/>
        </w:rPr>
        <w:lastRenderedPageBreak/>
        <w:t xml:space="preserve">custody, the conditions in which it takes place and the provision of safeguards against abuse. </w:t>
      </w:r>
    </w:p>
    <w:p w:rsidR="00A95C93" w:rsidRPr="00A95C93" w:rsidRDefault="00A95C93" w:rsidP="00A95C93">
      <w:pPr>
        <w:autoSpaceDE/>
        <w:autoSpaceDN/>
        <w:adjustRightInd/>
        <w:spacing w:before="100" w:beforeAutospacing="1" w:after="100" w:afterAutospacing="1"/>
        <w:rPr>
          <w:sz w:val="28"/>
          <w:szCs w:val="28"/>
          <w:u w:val="single"/>
          <w:lang w:val="en-GB"/>
        </w:rPr>
      </w:pPr>
      <w:r w:rsidRPr="000656AD">
        <w:rPr>
          <w:b/>
          <w:bCs/>
          <w:sz w:val="28"/>
          <w:szCs w:val="28"/>
          <w:u w:val="single"/>
          <w:lang w:val="en-GB"/>
        </w:rPr>
        <w:t>Cross-References:</w:t>
      </w:r>
    </w:p>
    <w:p w:rsidR="00A95C93" w:rsidRPr="00A95C93" w:rsidRDefault="00A95C93" w:rsidP="00A95C93">
      <w:pPr>
        <w:autoSpaceDE/>
        <w:autoSpaceDN/>
        <w:adjustRightInd/>
        <w:spacing w:before="100" w:beforeAutospacing="1" w:after="100" w:afterAutospacing="1"/>
        <w:rPr>
          <w:sz w:val="28"/>
          <w:szCs w:val="28"/>
          <w:lang w:val="en-GB"/>
        </w:rPr>
      </w:pPr>
      <w:r w:rsidRPr="000656AD">
        <w:rPr>
          <w:b/>
          <w:bCs/>
          <w:sz w:val="28"/>
          <w:szCs w:val="28"/>
          <w:lang w:val="en-GB"/>
        </w:rPr>
        <w:t>Constitutional Court of Ukraine:</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1-r(II)/2019, 25.04.2019;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7-r/2019, 25.06.2019;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5-r(I)/2019, 12.07.2019;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5-r(II)/2022, 22.06.2022;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7-r(II)/2024, 19.06.2024;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8-r(II)/2024, 18.07.2024; </w:t>
      </w:r>
    </w:p>
    <w:p w:rsidR="00A95C93" w:rsidRPr="00A95C93" w:rsidRDefault="00A95C93" w:rsidP="00A95C93">
      <w:pPr>
        <w:numPr>
          <w:ilvl w:val="0"/>
          <w:numId w:val="2"/>
        </w:numPr>
        <w:autoSpaceDE/>
        <w:autoSpaceDN/>
        <w:adjustRightInd/>
        <w:spacing w:before="100" w:beforeAutospacing="1" w:after="100" w:afterAutospacing="1"/>
        <w:rPr>
          <w:sz w:val="28"/>
          <w:szCs w:val="28"/>
          <w:lang w:val="en-GB"/>
        </w:rPr>
      </w:pPr>
      <w:r w:rsidRPr="00A95C93">
        <w:rPr>
          <w:sz w:val="28"/>
          <w:szCs w:val="28"/>
          <w:lang w:val="en-GB"/>
        </w:rPr>
        <w:t xml:space="preserve">no. 12-r(II)/2024, 18.12.2024. </w:t>
      </w:r>
    </w:p>
    <w:p w:rsidR="00A95C93" w:rsidRPr="00A95C93" w:rsidRDefault="00A95C93" w:rsidP="00A95C93">
      <w:pPr>
        <w:autoSpaceDE/>
        <w:autoSpaceDN/>
        <w:adjustRightInd/>
        <w:spacing w:before="100" w:beforeAutospacing="1" w:after="100" w:afterAutospacing="1"/>
        <w:rPr>
          <w:sz w:val="28"/>
          <w:szCs w:val="28"/>
          <w:lang w:val="en-GB"/>
        </w:rPr>
      </w:pPr>
      <w:r w:rsidRPr="000656AD">
        <w:rPr>
          <w:b/>
          <w:bCs/>
          <w:sz w:val="28"/>
          <w:szCs w:val="28"/>
          <w:lang w:val="en-GB"/>
        </w:rPr>
        <w:t>European Court of Human Rights:</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Toshev v. Bulgaria</w:t>
      </w:r>
      <w:r w:rsidRPr="00A95C93">
        <w:rPr>
          <w:sz w:val="28"/>
          <w:szCs w:val="28"/>
          <w:lang w:val="en-GB"/>
        </w:rPr>
        <w:t xml:space="preserve">, no. 56308/00, 10.08.2006;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S., V. and A. v. Denmark</w:t>
      </w:r>
      <w:r w:rsidRPr="00A95C93">
        <w:rPr>
          <w:sz w:val="28"/>
          <w:szCs w:val="28"/>
          <w:lang w:val="en-GB"/>
        </w:rPr>
        <w:t xml:space="preserve">, nos. 35553/12, 36678/12 and 36711/12, 22.10.2018;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Mangouras v. Spain</w:t>
      </w:r>
      <w:r w:rsidRPr="00A95C93">
        <w:rPr>
          <w:sz w:val="28"/>
          <w:szCs w:val="28"/>
          <w:lang w:val="en-GB"/>
        </w:rPr>
        <w:t xml:space="preserve">, no. 12050/04, 28.09.2010;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Gafà v. Malta</w:t>
      </w:r>
      <w:r w:rsidRPr="00A95C93">
        <w:rPr>
          <w:sz w:val="28"/>
          <w:szCs w:val="28"/>
          <w:lang w:val="en-GB"/>
        </w:rPr>
        <w:t xml:space="preserve">, no. 54335/14, 22.05.2018;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Fedorchenko and Lozenko v. Ukraine</w:t>
      </w:r>
      <w:r w:rsidRPr="00A95C93">
        <w:rPr>
          <w:sz w:val="28"/>
          <w:szCs w:val="28"/>
          <w:lang w:val="en-GB"/>
        </w:rPr>
        <w:t xml:space="preserve">, no. 387/03, 20.09.2012;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Pichkur v. Ukraine</w:t>
      </w:r>
      <w:r w:rsidRPr="00A95C93">
        <w:rPr>
          <w:sz w:val="28"/>
          <w:szCs w:val="28"/>
          <w:lang w:val="en-GB"/>
        </w:rPr>
        <w:t xml:space="preserve">, no. 10441/06, 07.11.2013;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Istomina v. Ukraine</w:t>
      </w:r>
      <w:r w:rsidRPr="00A95C93">
        <w:rPr>
          <w:sz w:val="28"/>
          <w:szCs w:val="28"/>
          <w:lang w:val="en-GB"/>
        </w:rPr>
        <w:t xml:space="preserve">, no. 23312/15, 13.01.2022; </w:t>
      </w:r>
    </w:p>
    <w:p w:rsidR="00A95C93" w:rsidRPr="00A95C93" w:rsidRDefault="00A95C93" w:rsidP="00A95C93">
      <w:pPr>
        <w:numPr>
          <w:ilvl w:val="0"/>
          <w:numId w:val="3"/>
        </w:numPr>
        <w:autoSpaceDE/>
        <w:autoSpaceDN/>
        <w:adjustRightInd/>
        <w:spacing w:before="100" w:beforeAutospacing="1" w:after="100" w:afterAutospacing="1"/>
        <w:rPr>
          <w:sz w:val="28"/>
          <w:szCs w:val="28"/>
          <w:lang w:val="en-GB"/>
        </w:rPr>
      </w:pPr>
      <w:r w:rsidRPr="000656AD">
        <w:rPr>
          <w:i/>
          <w:iCs/>
          <w:sz w:val="28"/>
          <w:szCs w:val="28"/>
          <w:lang w:val="en-GB"/>
        </w:rPr>
        <w:t>Plachkov v. Ukraine</w:t>
      </w:r>
      <w:r w:rsidRPr="00A95C93">
        <w:rPr>
          <w:sz w:val="28"/>
          <w:szCs w:val="28"/>
          <w:lang w:val="en-GB"/>
        </w:rPr>
        <w:t>, no. 76250/13, 15.04.2021.</w:t>
      </w:r>
    </w:p>
    <w:sectPr w:rsidR="00A95C93" w:rsidRPr="00A95C9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FD8" w:rsidRDefault="00B10FD8" w:rsidP="00786030">
      <w:r>
        <w:separator/>
      </w:r>
    </w:p>
  </w:endnote>
  <w:endnote w:type="continuationSeparator" w:id="0">
    <w:p w:rsidR="00B10FD8" w:rsidRDefault="00B10FD8"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FD8" w:rsidRDefault="00B10FD8" w:rsidP="00786030">
      <w:r>
        <w:separator/>
      </w:r>
    </w:p>
  </w:footnote>
  <w:footnote w:type="continuationSeparator" w:id="0">
    <w:p w:rsidR="00B10FD8" w:rsidRDefault="00B10FD8"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A79F4"/>
    <w:multiLevelType w:val="multilevel"/>
    <w:tmpl w:val="B5D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C5D14"/>
    <w:multiLevelType w:val="multilevel"/>
    <w:tmpl w:val="FF48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D503C"/>
    <w:multiLevelType w:val="multilevel"/>
    <w:tmpl w:val="BA4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42DC4"/>
    <w:multiLevelType w:val="multilevel"/>
    <w:tmpl w:val="01E0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9FC"/>
    <w:rsid w:val="00003CEC"/>
    <w:rsid w:val="0000432B"/>
    <w:rsid w:val="00007F28"/>
    <w:rsid w:val="00010341"/>
    <w:rsid w:val="000115DE"/>
    <w:rsid w:val="000151A3"/>
    <w:rsid w:val="000156D3"/>
    <w:rsid w:val="00017D90"/>
    <w:rsid w:val="00017EBC"/>
    <w:rsid w:val="000200A7"/>
    <w:rsid w:val="000212A8"/>
    <w:rsid w:val="00023A8B"/>
    <w:rsid w:val="0002430F"/>
    <w:rsid w:val="00024C74"/>
    <w:rsid w:val="00031A05"/>
    <w:rsid w:val="00032E33"/>
    <w:rsid w:val="00034A6D"/>
    <w:rsid w:val="00034ADC"/>
    <w:rsid w:val="000354BE"/>
    <w:rsid w:val="000437F8"/>
    <w:rsid w:val="00043BF9"/>
    <w:rsid w:val="00045F77"/>
    <w:rsid w:val="000460DF"/>
    <w:rsid w:val="00046369"/>
    <w:rsid w:val="000515FF"/>
    <w:rsid w:val="00051AB7"/>
    <w:rsid w:val="0005200A"/>
    <w:rsid w:val="00053ECC"/>
    <w:rsid w:val="000549A9"/>
    <w:rsid w:val="000569FD"/>
    <w:rsid w:val="00056A60"/>
    <w:rsid w:val="00064EC6"/>
    <w:rsid w:val="000656AD"/>
    <w:rsid w:val="00072DF8"/>
    <w:rsid w:val="00074218"/>
    <w:rsid w:val="00076F6B"/>
    <w:rsid w:val="00077A9D"/>
    <w:rsid w:val="00082703"/>
    <w:rsid w:val="0008371C"/>
    <w:rsid w:val="00084670"/>
    <w:rsid w:val="00084C15"/>
    <w:rsid w:val="00086D82"/>
    <w:rsid w:val="0008710F"/>
    <w:rsid w:val="000878BA"/>
    <w:rsid w:val="00091C1E"/>
    <w:rsid w:val="0009741F"/>
    <w:rsid w:val="000A0FA5"/>
    <w:rsid w:val="000A29A0"/>
    <w:rsid w:val="000A2B05"/>
    <w:rsid w:val="000A5096"/>
    <w:rsid w:val="000A60D7"/>
    <w:rsid w:val="000A7695"/>
    <w:rsid w:val="000B1DA5"/>
    <w:rsid w:val="000B40DD"/>
    <w:rsid w:val="000B43C0"/>
    <w:rsid w:val="000B48B1"/>
    <w:rsid w:val="000B49E2"/>
    <w:rsid w:val="000B75E9"/>
    <w:rsid w:val="000B7D63"/>
    <w:rsid w:val="000C0DE3"/>
    <w:rsid w:val="000C1FEC"/>
    <w:rsid w:val="000C2B6E"/>
    <w:rsid w:val="000C4870"/>
    <w:rsid w:val="000D1B9A"/>
    <w:rsid w:val="000D2B7D"/>
    <w:rsid w:val="000D4569"/>
    <w:rsid w:val="000D6495"/>
    <w:rsid w:val="000E0336"/>
    <w:rsid w:val="000E7825"/>
    <w:rsid w:val="000F32C8"/>
    <w:rsid w:val="000F6985"/>
    <w:rsid w:val="00101629"/>
    <w:rsid w:val="0010239A"/>
    <w:rsid w:val="001024FD"/>
    <w:rsid w:val="00103CA9"/>
    <w:rsid w:val="00104F8D"/>
    <w:rsid w:val="001057F7"/>
    <w:rsid w:val="001059E6"/>
    <w:rsid w:val="00113D2E"/>
    <w:rsid w:val="00115A60"/>
    <w:rsid w:val="001201F5"/>
    <w:rsid w:val="00122474"/>
    <w:rsid w:val="00123E8C"/>
    <w:rsid w:val="00125797"/>
    <w:rsid w:val="00134359"/>
    <w:rsid w:val="00135AB3"/>
    <w:rsid w:val="0013736C"/>
    <w:rsid w:val="0014242E"/>
    <w:rsid w:val="00146527"/>
    <w:rsid w:val="00146DFC"/>
    <w:rsid w:val="00153878"/>
    <w:rsid w:val="0015415C"/>
    <w:rsid w:val="001602C2"/>
    <w:rsid w:val="00160D95"/>
    <w:rsid w:val="0016128D"/>
    <w:rsid w:val="00163C25"/>
    <w:rsid w:val="001704B8"/>
    <w:rsid w:val="00172696"/>
    <w:rsid w:val="00172EE2"/>
    <w:rsid w:val="00175E1E"/>
    <w:rsid w:val="00181D94"/>
    <w:rsid w:val="00190233"/>
    <w:rsid w:val="001917EA"/>
    <w:rsid w:val="00192668"/>
    <w:rsid w:val="001933AA"/>
    <w:rsid w:val="001944F6"/>
    <w:rsid w:val="001A0155"/>
    <w:rsid w:val="001A7F2D"/>
    <w:rsid w:val="001B056E"/>
    <w:rsid w:val="001B1A42"/>
    <w:rsid w:val="001B1F2F"/>
    <w:rsid w:val="001B2174"/>
    <w:rsid w:val="001B3969"/>
    <w:rsid w:val="001B3A74"/>
    <w:rsid w:val="001B3F4B"/>
    <w:rsid w:val="001B7BC0"/>
    <w:rsid w:val="001C0D8F"/>
    <w:rsid w:val="001C2064"/>
    <w:rsid w:val="001C2DF5"/>
    <w:rsid w:val="001C47F7"/>
    <w:rsid w:val="001C71B1"/>
    <w:rsid w:val="001D1FEA"/>
    <w:rsid w:val="001D2F39"/>
    <w:rsid w:val="001D3DB8"/>
    <w:rsid w:val="001D4D57"/>
    <w:rsid w:val="001D5352"/>
    <w:rsid w:val="001D5675"/>
    <w:rsid w:val="001D5EC4"/>
    <w:rsid w:val="001D6E9F"/>
    <w:rsid w:val="001E0EDA"/>
    <w:rsid w:val="001E1344"/>
    <w:rsid w:val="001E1D6E"/>
    <w:rsid w:val="001E27C6"/>
    <w:rsid w:val="001E3492"/>
    <w:rsid w:val="001F17CE"/>
    <w:rsid w:val="001F2198"/>
    <w:rsid w:val="001F66FD"/>
    <w:rsid w:val="001F6E9C"/>
    <w:rsid w:val="001F7DA6"/>
    <w:rsid w:val="00201E24"/>
    <w:rsid w:val="00202ED0"/>
    <w:rsid w:val="00203186"/>
    <w:rsid w:val="00205329"/>
    <w:rsid w:val="0020799E"/>
    <w:rsid w:val="00211752"/>
    <w:rsid w:val="00213752"/>
    <w:rsid w:val="002152D3"/>
    <w:rsid w:val="00216A58"/>
    <w:rsid w:val="00216EC0"/>
    <w:rsid w:val="00223DC7"/>
    <w:rsid w:val="00224A65"/>
    <w:rsid w:val="00232BBD"/>
    <w:rsid w:val="002332AC"/>
    <w:rsid w:val="00234BBC"/>
    <w:rsid w:val="002355AC"/>
    <w:rsid w:val="002361BE"/>
    <w:rsid w:val="002432C0"/>
    <w:rsid w:val="0024579B"/>
    <w:rsid w:val="0024655C"/>
    <w:rsid w:val="00246BEE"/>
    <w:rsid w:val="00247AD2"/>
    <w:rsid w:val="00253797"/>
    <w:rsid w:val="0025492F"/>
    <w:rsid w:val="0025557C"/>
    <w:rsid w:val="00261178"/>
    <w:rsid w:val="002665ED"/>
    <w:rsid w:val="00273AC9"/>
    <w:rsid w:val="002742B3"/>
    <w:rsid w:val="00275BF6"/>
    <w:rsid w:val="00275E25"/>
    <w:rsid w:val="00275F8D"/>
    <w:rsid w:val="002808B6"/>
    <w:rsid w:val="00285D3C"/>
    <w:rsid w:val="002864AA"/>
    <w:rsid w:val="00286F1A"/>
    <w:rsid w:val="00290CC3"/>
    <w:rsid w:val="00292E69"/>
    <w:rsid w:val="00292F4E"/>
    <w:rsid w:val="00294EC3"/>
    <w:rsid w:val="002962F6"/>
    <w:rsid w:val="00296A67"/>
    <w:rsid w:val="00296CB4"/>
    <w:rsid w:val="002974C5"/>
    <w:rsid w:val="002B087F"/>
    <w:rsid w:val="002B2416"/>
    <w:rsid w:val="002B306C"/>
    <w:rsid w:val="002C3792"/>
    <w:rsid w:val="002C43A7"/>
    <w:rsid w:val="002C55D0"/>
    <w:rsid w:val="002D06C0"/>
    <w:rsid w:val="002D14AD"/>
    <w:rsid w:val="002D1E7C"/>
    <w:rsid w:val="002D3E3B"/>
    <w:rsid w:val="002D4E25"/>
    <w:rsid w:val="002E1879"/>
    <w:rsid w:val="002E1980"/>
    <w:rsid w:val="002E29F7"/>
    <w:rsid w:val="002E42DD"/>
    <w:rsid w:val="002E4860"/>
    <w:rsid w:val="002E5AA1"/>
    <w:rsid w:val="002E5AB1"/>
    <w:rsid w:val="002E5E7F"/>
    <w:rsid w:val="002E6F4D"/>
    <w:rsid w:val="002E71A0"/>
    <w:rsid w:val="002F0171"/>
    <w:rsid w:val="002F57DF"/>
    <w:rsid w:val="002F770A"/>
    <w:rsid w:val="002F77F9"/>
    <w:rsid w:val="00301431"/>
    <w:rsid w:val="00303DA6"/>
    <w:rsid w:val="003044ED"/>
    <w:rsid w:val="003079DD"/>
    <w:rsid w:val="00310627"/>
    <w:rsid w:val="0031187C"/>
    <w:rsid w:val="00314C1A"/>
    <w:rsid w:val="00324CCA"/>
    <w:rsid w:val="00325EF4"/>
    <w:rsid w:val="00327AA8"/>
    <w:rsid w:val="00332D56"/>
    <w:rsid w:val="00332E5A"/>
    <w:rsid w:val="0033339B"/>
    <w:rsid w:val="0033508B"/>
    <w:rsid w:val="00341360"/>
    <w:rsid w:val="003415B0"/>
    <w:rsid w:val="0034161C"/>
    <w:rsid w:val="0035010E"/>
    <w:rsid w:val="00350EC6"/>
    <w:rsid w:val="00352CE2"/>
    <w:rsid w:val="00354DD9"/>
    <w:rsid w:val="003551DD"/>
    <w:rsid w:val="00356F05"/>
    <w:rsid w:val="00357470"/>
    <w:rsid w:val="003604B2"/>
    <w:rsid w:val="00363FEB"/>
    <w:rsid w:val="00364968"/>
    <w:rsid w:val="0036547B"/>
    <w:rsid w:val="00367FD0"/>
    <w:rsid w:val="003705AC"/>
    <w:rsid w:val="0037136D"/>
    <w:rsid w:val="00371803"/>
    <w:rsid w:val="00373E47"/>
    <w:rsid w:val="00374526"/>
    <w:rsid w:val="00374DC3"/>
    <w:rsid w:val="00375C7B"/>
    <w:rsid w:val="00377A4A"/>
    <w:rsid w:val="00380566"/>
    <w:rsid w:val="00381076"/>
    <w:rsid w:val="00381C2B"/>
    <w:rsid w:val="00383255"/>
    <w:rsid w:val="00384778"/>
    <w:rsid w:val="00397EF9"/>
    <w:rsid w:val="003A28F2"/>
    <w:rsid w:val="003A50C4"/>
    <w:rsid w:val="003A5C55"/>
    <w:rsid w:val="003C226B"/>
    <w:rsid w:val="003C29FB"/>
    <w:rsid w:val="003C2EB0"/>
    <w:rsid w:val="003D17E9"/>
    <w:rsid w:val="003D2BFF"/>
    <w:rsid w:val="003D3010"/>
    <w:rsid w:val="003D311A"/>
    <w:rsid w:val="003D59C5"/>
    <w:rsid w:val="003D6CBF"/>
    <w:rsid w:val="003D7338"/>
    <w:rsid w:val="003D7B07"/>
    <w:rsid w:val="003E4446"/>
    <w:rsid w:val="003E6BAE"/>
    <w:rsid w:val="003F0162"/>
    <w:rsid w:val="003F0F01"/>
    <w:rsid w:val="003F207F"/>
    <w:rsid w:val="003F22AB"/>
    <w:rsid w:val="003F29E5"/>
    <w:rsid w:val="003F5C71"/>
    <w:rsid w:val="003F64F6"/>
    <w:rsid w:val="003F6A2E"/>
    <w:rsid w:val="003F7155"/>
    <w:rsid w:val="003F78D1"/>
    <w:rsid w:val="00400E81"/>
    <w:rsid w:val="00401755"/>
    <w:rsid w:val="00406FE4"/>
    <w:rsid w:val="00407025"/>
    <w:rsid w:val="0040751B"/>
    <w:rsid w:val="00410148"/>
    <w:rsid w:val="0041123E"/>
    <w:rsid w:val="00412B6B"/>
    <w:rsid w:val="00414EEC"/>
    <w:rsid w:val="00414F26"/>
    <w:rsid w:val="0041523F"/>
    <w:rsid w:val="00415ABB"/>
    <w:rsid w:val="00417A74"/>
    <w:rsid w:val="00423C2C"/>
    <w:rsid w:val="004257D6"/>
    <w:rsid w:val="004331FF"/>
    <w:rsid w:val="00435508"/>
    <w:rsid w:val="00436DC7"/>
    <w:rsid w:val="00440D03"/>
    <w:rsid w:val="00440EC6"/>
    <w:rsid w:val="00441734"/>
    <w:rsid w:val="0044238F"/>
    <w:rsid w:val="004472C0"/>
    <w:rsid w:val="0044742F"/>
    <w:rsid w:val="00447B64"/>
    <w:rsid w:val="00447FC6"/>
    <w:rsid w:val="00451154"/>
    <w:rsid w:val="00451A71"/>
    <w:rsid w:val="00453D9A"/>
    <w:rsid w:val="00454A1F"/>
    <w:rsid w:val="0045541F"/>
    <w:rsid w:val="00455AF4"/>
    <w:rsid w:val="00457141"/>
    <w:rsid w:val="00463326"/>
    <w:rsid w:val="00463F6E"/>
    <w:rsid w:val="00465098"/>
    <w:rsid w:val="0046512B"/>
    <w:rsid w:val="004656BA"/>
    <w:rsid w:val="00467A21"/>
    <w:rsid w:val="004700C2"/>
    <w:rsid w:val="004710FF"/>
    <w:rsid w:val="00471EBB"/>
    <w:rsid w:val="00471F97"/>
    <w:rsid w:val="004747D4"/>
    <w:rsid w:val="004753F5"/>
    <w:rsid w:val="00477E68"/>
    <w:rsid w:val="0048094E"/>
    <w:rsid w:val="00484B20"/>
    <w:rsid w:val="00485320"/>
    <w:rsid w:val="004866EF"/>
    <w:rsid w:val="00490B3B"/>
    <w:rsid w:val="00494417"/>
    <w:rsid w:val="00494829"/>
    <w:rsid w:val="0049792E"/>
    <w:rsid w:val="004A27CF"/>
    <w:rsid w:val="004A2973"/>
    <w:rsid w:val="004A3624"/>
    <w:rsid w:val="004A3F9D"/>
    <w:rsid w:val="004A4EE6"/>
    <w:rsid w:val="004A5514"/>
    <w:rsid w:val="004A5F5C"/>
    <w:rsid w:val="004A62AC"/>
    <w:rsid w:val="004A6556"/>
    <w:rsid w:val="004B48FA"/>
    <w:rsid w:val="004B64C4"/>
    <w:rsid w:val="004B7FAC"/>
    <w:rsid w:val="004C18BF"/>
    <w:rsid w:val="004C28F9"/>
    <w:rsid w:val="004C2E91"/>
    <w:rsid w:val="004C6612"/>
    <w:rsid w:val="004D29F7"/>
    <w:rsid w:val="004D2C40"/>
    <w:rsid w:val="004D4977"/>
    <w:rsid w:val="004D4E9C"/>
    <w:rsid w:val="004D7614"/>
    <w:rsid w:val="004D7864"/>
    <w:rsid w:val="004E40C8"/>
    <w:rsid w:val="004E6490"/>
    <w:rsid w:val="004E74CB"/>
    <w:rsid w:val="004E7A5F"/>
    <w:rsid w:val="004F047E"/>
    <w:rsid w:val="004F2583"/>
    <w:rsid w:val="004F3993"/>
    <w:rsid w:val="004F3AA8"/>
    <w:rsid w:val="004F55D6"/>
    <w:rsid w:val="0050188C"/>
    <w:rsid w:val="00502951"/>
    <w:rsid w:val="00507A6D"/>
    <w:rsid w:val="005121F6"/>
    <w:rsid w:val="00512A15"/>
    <w:rsid w:val="00515406"/>
    <w:rsid w:val="0051570A"/>
    <w:rsid w:val="0051592D"/>
    <w:rsid w:val="00515E58"/>
    <w:rsid w:val="00515E68"/>
    <w:rsid w:val="00523C3F"/>
    <w:rsid w:val="0052439D"/>
    <w:rsid w:val="005320A5"/>
    <w:rsid w:val="00535250"/>
    <w:rsid w:val="00537D1B"/>
    <w:rsid w:val="00542615"/>
    <w:rsid w:val="00542D4F"/>
    <w:rsid w:val="00543C1C"/>
    <w:rsid w:val="00545D26"/>
    <w:rsid w:val="005478DC"/>
    <w:rsid w:val="0055039C"/>
    <w:rsid w:val="00550441"/>
    <w:rsid w:val="005523FE"/>
    <w:rsid w:val="005561F6"/>
    <w:rsid w:val="00556758"/>
    <w:rsid w:val="00556D71"/>
    <w:rsid w:val="00562752"/>
    <w:rsid w:val="00563DF5"/>
    <w:rsid w:val="005645F4"/>
    <w:rsid w:val="00564D25"/>
    <w:rsid w:val="00567806"/>
    <w:rsid w:val="00570F0E"/>
    <w:rsid w:val="0057514E"/>
    <w:rsid w:val="00580524"/>
    <w:rsid w:val="00581B72"/>
    <w:rsid w:val="00581C14"/>
    <w:rsid w:val="00584600"/>
    <w:rsid w:val="00584A97"/>
    <w:rsid w:val="005907F0"/>
    <w:rsid w:val="00593BB9"/>
    <w:rsid w:val="00597A82"/>
    <w:rsid w:val="005A0E76"/>
    <w:rsid w:val="005A53D6"/>
    <w:rsid w:val="005A709E"/>
    <w:rsid w:val="005B415D"/>
    <w:rsid w:val="005B754A"/>
    <w:rsid w:val="005C0B06"/>
    <w:rsid w:val="005C1862"/>
    <w:rsid w:val="005C45EE"/>
    <w:rsid w:val="005C5724"/>
    <w:rsid w:val="005C6176"/>
    <w:rsid w:val="005C64DC"/>
    <w:rsid w:val="005C7042"/>
    <w:rsid w:val="005D0AB1"/>
    <w:rsid w:val="005D3B85"/>
    <w:rsid w:val="005D4155"/>
    <w:rsid w:val="005D42C0"/>
    <w:rsid w:val="005D6214"/>
    <w:rsid w:val="005E2F18"/>
    <w:rsid w:val="005E3A78"/>
    <w:rsid w:val="005E451F"/>
    <w:rsid w:val="005F102B"/>
    <w:rsid w:val="005F1CAF"/>
    <w:rsid w:val="005F20FE"/>
    <w:rsid w:val="005F2AF3"/>
    <w:rsid w:val="005F31F4"/>
    <w:rsid w:val="005F3EF2"/>
    <w:rsid w:val="005F4F51"/>
    <w:rsid w:val="005F7FA3"/>
    <w:rsid w:val="00600CBB"/>
    <w:rsid w:val="0060263F"/>
    <w:rsid w:val="00603917"/>
    <w:rsid w:val="00605125"/>
    <w:rsid w:val="00605614"/>
    <w:rsid w:val="00610449"/>
    <w:rsid w:val="00611044"/>
    <w:rsid w:val="006111AA"/>
    <w:rsid w:val="006116D3"/>
    <w:rsid w:val="00615E14"/>
    <w:rsid w:val="006171BE"/>
    <w:rsid w:val="00620DD1"/>
    <w:rsid w:val="00622585"/>
    <w:rsid w:val="00626572"/>
    <w:rsid w:val="006300A7"/>
    <w:rsid w:val="006308F4"/>
    <w:rsid w:val="00631E57"/>
    <w:rsid w:val="0063339A"/>
    <w:rsid w:val="00634BF0"/>
    <w:rsid w:val="00634EF6"/>
    <w:rsid w:val="00635A43"/>
    <w:rsid w:val="00643C79"/>
    <w:rsid w:val="006476C6"/>
    <w:rsid w:val="006512BA"/>
    <w:rsid w:val="0065172C"/>
    <w:rsid w:val="00654E69"/>
    <w:rsid w:val="006564C8"/>
    <w:rsid w:val="00662AB4"/>
    <w:rsid w:val="00663571"/>
    <w:rsid w:val="00663C3E"/>
    <w:rsid w:val="00667394"/>
    <w:rsid w:val="006702B9"/>
    <w:rsid w:val="006702EC"/>
    <w:rsid w:val="006738AD"/>
    <w:rsid w:val="00674B09"/>
    <w:rsid w:val="0067655F"/>
    <w:rsid w:val="00677F55"/>
    <w:rsid w:val="00680E1C"/>
    <w:rsid w:val="0068294A"/>
    <w:rsid w:val="00683196"/>
    <w:rsid w:val="00683E82"/>
    <w:rsid w:val="0068535C"/>
    <w:rsid w:val="006853B8"/>
    <w:rsid w:val="00686B04"/>
    <w:rsid w:val="006927E5"/>
    <w:rsid w:val="00696B07"/>
    <w:rsid w:val="006A13D8"/>
    <w:rsid w:val="006A1D7D"/>
    <w:rsid w:val="006A2AC7"/>
    <w:rsid w:val="006A3405"/>
    <w:rsid w:val="006A63AD"/>
    <w:rsid w:val="006B223B"/>
    <w:rsid w:val="006B22A5"/>
    <w:rsid w:val="006B24CC"/>
    <w:rsid w:val="006B3D34"/>
    <w:rsid w:val="006B71BC"/>
    <w:rsid w:val="006B7898"/>
    <w:rsid w:val="006C30B9"/>
    <w:rsid w:val="006C381A"/>
    <w:rsid w:val="006C504F"/>
    <w:rsid w:val="006C5369"/>
    <w:rsid w:val="006C6BBF"/>
    <w:rsid w:val="006C7457"/>
    <w:rsid w:val="006D0A2B"/>
    <w:rsid w:val="006D3187"/>
    <w:rsid w:val="006D3329"/>
    <w:rsid w:val="006D3698"/>
    <w:rsid w:val="006D3717"/>
    <w:rsid w:val="006D4B02"/>
    <w:rsid w:val="006E22FF"/>
    <w:rsid w:val="006E312B"/>
    <w:rsid w:val="006E44C4"/>
    <w:rsid w:val="006E4ED8"/>
    <w:rsid w:val="006F1453"/>
    <w:rsid w:val="006F1C30"/>
    <w:rsid w:val="006F2A82"/>
    <w:rsid w:val="006F3DAA"/>
    <w:rsid w:val="006F40E2"/>
    <w:rsid w:val="006F646B"/>
    <w:rsid w:val="006F6489"/>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64F0"/>
    <w:rsid w:val="00737127"/>
    <w:rsid w:val="00737FEE"/>
    <w:rsid w:val="00742146"/>
    <w:rsid w:val="00743C57"/>
    <w:rsid w:val="00743C9B"/>
    <w:rsid w:val="00744C72"/>
    <w:rsid w:val="00751605"/>
    <w:rsid w:val="0075297F"/>
    <w:rsid w:val="00756B58"/>
    <w:rsid w:val="00756E2C"/>
    <w:rsid w:val="00757019"/>
    <w:rsid w:val="00757437"/>
    <w:rsid w:val="007606F6"/>
    <w:rsid w:val="00761846"/>
    <w:rsid w:val="00766138"/>
    <w:rsid w:val="0076646A"/>
    <w:rsid w:val="007672C9"/>
    <w:rsid w:val="007708D9"/>
    <w:rsid w:val="00774565"/>
    <w:rsid w:val="00775732"/>
    <w:rsid w:val="00775C38"/>
    <w:rsid w:val="007764F2"/>
    <w:rsid w:val="00776A77"/>
    <w:rsid w:val="00776EF6"/>
    <w:rsid w:val="00781367"/>
    <w:rsid w:val="00782141"/>
    <w:rsid w:val="00786030"/>
    <w:rsid w:val="00786BB9"/>
    <w:rsid w:val="00787705"/>
    <w:rsid w:val="007918D3"/>
    <w:rsid w:val="00791B51"/>
    <w:rsid w:val="00793267"/>
    <w:rsid w:val="007951F2"/>
    <w:rsid w:val="0079764F"/>
    <w:rsid w:val="00797716"/>
    <w:rsid w:val="00797762"/>
    <w:rsid w:val="007977CC"/>
    <w:rsid w:val="007A01A0"/>
    <w:rsid w:val="007A2229"/>
    <w:rsid w:val="007A4588"/>
    <w:rsid w:val="007A58A9"/>
    <w:rsid w:val="007B1FC5"/>
    <w:rsid w:val="007B2D8A"/>
    <w:rsid w:val="007B7215"/>
    <w:rsid w:val="007C08A9"/>
    <w:rsid w:val="007C70F8"/>
    <w:rsid w:val="007D4CFB"/>
    <w:rsid w:val="007D6FE4"/>
    <w:rsid w:val="007D7F77"/>
    <w:rsid w:val="007E062A"/>
    <w:rsid w:val="007E06EF"/>
    <w:rsid w:val="007E0CEC"/>
    <w:rsid w:val="007E1D0B"/>
    <w:rsid w:val="007E4225"/>
    <w:rsid w:val="007E5589"/>
    <w:rsid w:val="007E7BD0"/>
    <w:rsid w:val="007F1C60"/>
    <w:rsid w:val="007F2E98"/>
    <w:rsid w:val="007F3C93"/>
    <w:rsid w:val="00801C21"/>
    <w:rsid w:val="00802B34"/>
    <w:rsid w:val="008058DC"/>
    <w:rsid w:val="00805D12"/>
    <w:rsid w:val="00806468"/>
    <w:rsid w:val="00811610"/>
    <w:rsid w:val="00811D70"/>
    <w:rsid w:val="00811E5E"/>
    <w:rsid w:val="008121D6"/>
    <w:rsid w:val="00816084"/>
    <w:rsid w:val="0082146E"/>
    <w:rsid w:val="00825382"/>
    <w:rsid w:val="00825C3E"/>
    <w:rsid w:val="008269FD"/>
    <w:rsid w:val="00826A7A"/>
    <w:rsid w:val="00830BC9"/>
    <w:rsid w:val="0083204C"/>
    <w:rsid w:val="00833C35"/>
    <w:rsid w:val="00834AE7"/>
    <w:rsid w:val="00840A97"/>
    <w:rsid w:val="00843384"/>
    <w:rsid w:val="00850741"/>
    <w:rsid w:val="008531C8"/>
    <w:rsid w:val="008575CF"/>
    <w:rsid w:val="00870CD7"/>
    <w:rsid w:val="008714B4"/>
    <w:rsid w:val="008727BF"/>
    <w:rsid w:val="00872E09"/>
    <w:rsid w:val="00873E31"/>
    <w:rsid w:val="00874088"/>
    <w:rsid w:val="0087408A"/>
    <w:rsid w:val="00874895"/>
    <w:rsid w:val="00876160"/>
    <w:rsid w:val="008778CF"/>
    <w:rsid w:val="00880A08"/>
    <w:rsid w:val="00882EFD"/>
    <w:rsid w:val="00883A67"/>
    <w:rsid w:val="0088521F"/>
    <w:rsid w:val="00887EE4"/>
    <w:rsid w:val="00891BB4"/>
    <w:rsid w:val="008936A1"/>
    <w:rsid w:val="0089392A"/>
    <w:rsid w:val="00896413"/>
    <w:rsid w:val="008A361D"/>
    <w:rsid w:val="008A40AA"/>
    <w:rsid w:val="008A4BA8"/>
    <w:rsid w:val="008A4BF8"/>
    <w:rsid w:val="008A6A6A"/>
    <w:rsid w:val="008B22A2"/>
    <w:rsid w:val="008B31F5"/>
    <w:rsid w:val="008B4D20"/>
    <w:rsid w:val="008C0A50"/>
    <w:rsid w:val="008C1C1D"/>
    <w:rsid w:val="008C20B2"/>
    <w:rsid w:val="008C760C"/>
    <w:rsid w:val="008D33D2"/>
    <w:rsid w:val="008D5672"/>
    <w:rsid w:val="008D5B90"/>
    <w:rsid w:val="008D6395"/>
    <w:rsid w:val="008E4299"/>
    <w:rsid w:val="008E57B6"/>
    <w:rsid w:val="008E77E4"/>
    <w:rsid w:val="008F0EC8"/>
    <w:rsid w:val="008F20BE"/>
    <w:rsid w:val="008F2657"/>
    <w:rsid w:val="008F2A16"/>
    <w:rsid w:val="008F34A2"/>
    <w:rsid w:val="008F43A4"/>
    <w:rsid w:val="008F5232"/>
    <w:rsid w:val="008F5C27"/>
    <w:rsid w:val="00900388"/>
    <w:rsid w:val="00900B56"/>
    <w:rsid w:val="00902E7A"/>
    <w:rsid w:val="0090695C"/>
    <w:rsid w:val="009073F1"/>
    <w:rsid w:val="00910098"/>
    <w:rsid w:val="009119F3"/>
    <w:rsid w:val="00911FAE"/>
    <w:rsid w:val="00912131"/>
    <w:rsid w:val="00912173"/>
    <w:rsid w:val="00914AA3"/>
    <w:rsid w:val="00914BF5"/>
    <w:rsid w:val="009209DE"/>
    <w:rsid w:val="009219CE"/>
    <w:rsid w:val="00921FF9"/>
    <w:rsid w:val="009244AA"/>
    <w:rsid w:val="00925585"/>
    <w:rsid w:val="00925922"/>
    <w:rsid w:val="009259C8"/>
    <w:rsid w:val="00926212"/>
    <w:rsid w:val="009302FE"/>
    <w:rsid w:val="00930C66"/>
    <w:rsid w:val="00930E35"/>
    <w:rsid w:val="00930EC7"/>
    <w:rsid w:val="009312B6"/>
    <w:rsid w:val="00931D0D"/>
    <w:rsid w:val="00931E46"/>
    <w:rsid w:val="00932D65"/>
    <w:rsid w:val="00935A13"/>
    <w:rsid w:val="00936C74"/>
    <w:rsid w:val="0093779B"/>
    <w:rsid w:val="00941034"/>
    <w:rsid w:val="0094311B"/>
    <w:rsid w:val="00946A37"/>
    <w:rsid w:val="0095031D"/>
    <w:rsid w:val="00952766"/>
    <w:rsid w:val="00955B15"/>
    <w:rsid w:val="009573CB"/>
    <w:rsid w:val="009577CB"/>
    <w:rsid w:val="00957B2E"/>
    <w:rsid w:val="009608C8"/>
    <w:rsid w:val="009614D0"/>
    <w:rsid w:val="009671DE"/>
    <w:rsid w:val="00967A8A"/>
    <w:rsid w:val="00970CAF"/>
    <w:rsid w:val="00974E51"/>
    <w:rsid w:val="009801ED"/>
    <w:rsid w:val="00981591"/>
    <w:rsid w:val="00982619"/>
    <w:rsid w:val="00984EF3"/>
    <w:rsid w:val="00984FFC"/>
    <w:rsid w:val="00985CEA"/>
    <w:rsid w:val="00985DB6"/>
    <w:rsid w:val="00987772"/>
    <w:rsid w:val="00990B5F"/>
    <w:rsid w:val="00990D42"/>
    <w:rsid w:val="00992FC7"/>
    <w:rsid w:val="00993AA2"/>
    <w:rsid w:val="00993EB7"/>
    <w:rsid w:val="00994FDC"/>
    <w:rsid w:val="00995EF0"/>
    <w:rsid w:val="009967DC"/>
    <w:rsid w:val="00997119"/>
    <w:rsid w:val="009B3E31"/>
    <w:rsid w:val="009B4C02"/>
    <w:rsid w:val="009B4D18"/>
    <w:rsid w:val="009B722C"/>
    <w:rsid w:val="009B72E2"/>
    <w:rsid w:val="009C6175"/>
    <w:rsid w:val="009C6D72"/>
    <w:rsid w:val="009C799F"/>
    <w:rsid w:val="009D0AA0"/>
    <w:rsid w:val="009D200E"/>
    <w:rsid w:val="009D4F3D"/>
    <w:rsid w:val="009D5156"/>
    <w:rsid w:val="009D661C"/>
    <w:rsid w:val="009D6697"/>
    <w:rsid w:val="009D7DCC"/>
    <w:rsid w:val="009E062A"/>
    <w:rsid w:val="009E224B"/>
    <w:rsid w:val="009E3204"/>
    <w:rsid w:val="009E35A1"/>
    <w:rsid w:val="009E3D0D"/>
    <w:rsid w:val="009E5585"/>
    <w:rsid w:val="009F07C2"/>
    <w:rsid w:val="009F07C3"/>
    <w:rsid w:val="009F3EEA"/>
    <w:rsid w:val="00A01C05"/>
    <w:rsid w:val="00A02002"/>
    <w:rsid w:val="00A03505"/>
    <w:rsid w:val="00A04FF0"/>
    <w:rsid w:val="00A0543B"/>
    <w:rsid w:val="00A06283"/>
    <w:rsid w:val="00A10042"/>
    <w:rsid w:val="00A10060"/>
    <w:rsid w:val="00A10AF8"/>
    <w:rsid w:val="00A16FB8"/>
    <w:rsid w:val="00A2227E"/>
    <w:rsid w:val="00A2233D"/>
    <w:rsid w:val="00A24BD5"/>
    <w:rsid w:val="00A2634D"/>
    <w:rsid w:val="00A270D2"/>
    <w:rsid w:val="00A275B1"/>
    <w:rsid w:val="00A276D2"/>
    <w:rsid w:val="00A31284"/>
    <w:rsid w:val="00A31EA9"/>
    <w:rsid w:val="00A339D3"/>
    <w:rsid w:val="00A33B0F"/>
    <w:rsid w:val="00A35E91"/>
    <w:rsid w:val="00A3694B"/>
    <w:rsid w:val="00A3764B"/>
    <w:rsid w:val="00A40D49"/>
    <w:rsid w:val="00A41C71"/>
    <w:rsid w:val="00A45275"/>
    <w:rsid w:val="00A453EA"/>
    <w:rsid w:val="00A459B8"/>
    <w:rsid w:val="00A468DA"/>
    <w:rsid w:val="00A46D0D"/>
    <w:rsid w:val="00A479BB"/>
    <w:rsid w:val="00A541D1"/>
    <w:rsid w:val="00A55709"/>
    <w:rsid w:val="00A562B8"/>
    <w:rsid w:val="00A621C7"/>
    <w:rsid w:val="00A630E9"/>
    <w:rsid w:val="00A65F0D"/>
    <w:rsid w:val="00A66995"/>
    <w:rsid w:val="00A66A4D"/>
    <w:rsid w:val="00A708A5"/>
    <w:rsid w:val="00A809A6"/>
    <w:rsid w:val="00A8257A"/>
    <w:rsid w:val="00A827A6"/>
    <w:rsid w:val="00A84692"/>
    <w:rsid w:val="00A852FD"/>
    <w:rsid w:val="00A87ADA"/>
    <w:rsid w:val="00A95C93"/>
    <w:rsid w:val="00A970AD"/>
    <w:rsid w:val="00AA67BC"/>
    <w:rsid w:val="00AA7448"/>
    <w:rsid w:val="00AB0CAF"/>
    <w:rsid w:val="00AB1000"/>
    <w:rsid w:val="00AB2C0D"/>
    <w:rsid w:val="00AB3204"/>
    <w:rsid w:val="00AB39B9"/>
    <w:rsid w:val="00AB3C36"/>
    <w:rsid w:val="00AB5043"/>
    <w:rsid w:val="00AB5A64"/>
    <w:rsid w:val="00AB64D0"/>
    <w:rsid w:val="00AB6B17"/>
    <w:rsid w:val="00AC1AE2"/>
    <w:rsid w:val="00AC4041"/>
    <w:rsid w:val="00AC45A1"/>
    <w:rsid w:val="00AC4908"/>
    <w:rsid w:val="00AD079C"/>
    <w:rsid w:val="00AD0C1C"/>
    <w:rsid w:val="00AD0E2C"/>
    <w:rsid w:val="00AD1C3B"/>
    <w:rsid w:val="00AD2B6F"/>
    <w:rsid w:val="00AD3FA0"/>
    <w:rsid w:val="00AD4B5A"/>
    <w:rsid w:val="00AD6172"/>
    <w:rsid w:val="00AE3AB9"/>
    <w:rsid w:val="00AE56EF"/>
    <w:rsid w:val="00AE6266"/>
    <w:rsid w:val="00AF358F"/>
    <w:rsid w:val="00AF4556"/>
    <w:rsid w:val="00AF5310"/>
    <w:rsid w:val="00AF6D78"/>
    <w:rsid w:val="00AF78DD"/>
    <w:rsid w:val="00B00474"/>
    <w:rsid w:val="00B030CE"/>
    <w:rsid w:val="00B058E3"/>
    <w:rsid w:val="00B0631B"/>
    <w:rsid w:val="00B06FA4"/>
    <w:rsid w:val="00B07488"/>
    <w:rsid w:val="00B077CA"/>
    <w:rsid w:val="00B07BDA"/>
    <w:rsid w:val="00B10B05"/>
    <w:rsid w:val="00B10FD8"/>
    <w:rsid w:val="00B118C0"/>
    <w:rsid w:val="00B12043"/>
    <w:rsid w:val="00B1222E"/>
    <w:rsid w:val="00B13057"/>
    <w:rsid w:val="00B14841"/>
    <w:rsid w:val="00B15D13"/>
    <w:rsid w:val="00B17FFD"/>
    <w:rsid w:val="00B20B91"/>
    <w:rsid w:val="00B21A63"/>
    <w:rsid w:val="00B2656D"/>
    <w:rsid w:val="00B30AE0"/>
    <w:rsid w:val="00B30FA6"/>
    <w:rsid w:val="00B33559"/>
    <w:rsid w:val="00B3428F"/>
    <w:rsid w:val="00B35602"/>
    <w:rsid w:val="00B36F8A"/>
    <w:rsid w:val="00B372DE"/>
    <w:rsid w:val="00B40FB3"/>
    <w:rsid w:val="00B40FF2"/>
    <w:rsid w:val="00B421D0"/>
    <w:rsid w:val="00B43214"/>
    <w:rsid w:val="00B45461"/>
    <w:rsid w:val="00B455AC"/>
    <w:rsid w:val="00B45797"/>
    <w:rsid w:val="00B45A97"/>
    <w:rsid w:val="00B45EE7"/>
    <w:rsid w:val="00B46CB6"/>
    <w:rsid w:val="00B50C0C"/>
    <w:rsid w:val="00B5446F"/>
    <w:rsid w:val="00B546D1"/>
    <w:rsid w:val="00B55FAF"/>
    <w:rsid w:val="00B56B9A"/>
    <w:rsid w:val="00B61C34"/>
    <w:rsid w:val="00B63307"/>
    <w:rsid w:val="00B65FC6"/>
    <w:rsid w:val="00B704CB"/>
    <w:rsid w:val="00B71B2D"/>
    <w:rsid w:val="00B71CE1"/>
    <w:rsid w:val="00B7793D"/>
    <w:rsid w:val="00B83398"/>
    <w:rsid w:val="00B90050"/>
    <w:rsid w:val="00B91E62"/>
    <w:rsid w:val="00B95B26"/>
    <w:rsid w:val="00BA020F"/>
    <w:rsid w:val="00BA6362"/>
    <w:rsid w:val="00BB1C90"/>
    <w:rsid w:val="00BB55CF"/>
    <w:rsid w:val="00BC3DD8"/>
    <w:rsid w:val="00BC4019"/>
    <w:rsid w:val="00BC4679"/>
    <w:rsid w:val="00BC4FA0"/>
    <w:rsid w:val="00BC6501"/>
    <w:rsid w:val="00BC66C8"/>
    <w:rsid w:val="00BD0420"/>
    <w:rsid w:val="00BD171B"/>
    <w:rsid w:val="00BD3D8D"/>
    <w:rsid w:val="00BD5C3B"/>
    <w:rsid w:val="00BD6382"/>
    <w:rsid w:val="00BE1C2C"/>
    <w:rsid w:val="00BE40FC"/>
    <w:rsid w:val="00BE5B0B"/>
    <w:rsid w:val="00BE60C4"/>
    <w:rsid w:val="00BF092E"/>
    <w:rsid w:val="00BF3A28"/>
    <w:rsid w:val="00BF3FB3"/>
    <w:rsid w:val="00BF4129"/>
    <w:rsid w:val="00BF6922"/>
    <w:rsid w:val="00BF6C06"/>
    <w:rsid w:val="00BF6D25"/>
    <w:rsid w:val="00BF768B"/>
    <w:rsid w:val="00C01AD6"/>
    <w:rsid w:val="00C024C9"/>
    <w:rsid w:val="00C0300A"/>
    <w:rsid w:val="00C04D23"/>
    <w:rsid w:val="00C10C17"/>
    <w:rsid w:val="00C14F53"/>
    <w:rsid w:val="00C15B79"/>
    <w:rsid w:val="00C16ECC"/>
    <w:rsid w:val="00C16F5B"/>
    <w:rsid w:val="00C1702C"/>
    <w:rsid w:val="00C17377"/>
    <w:rsid w:val="00C21957"/>
    <w:rsid w:val="00C32E7D"/>
    <w:rsid w:val="00C37B15"/>
    <w:rsid w:val="00C453AB"/>
    <w:rsid w:val="00C45C02"/>
    <w:rsid w:val="00C475FB"/>
    <w:rsid w:val="00C507CF"/>
    <w:rsid w:val="00C51238"/>
    <w:rsid w:val="00C5179D"/>
    <w:rsid w:val="00C52448"/>
    <w:rsid w:val="00C52924"/>
    <w:rsid w:val="00C52A54"/>
    <w:rsid w:val="00C52CA3"/>
    <w:rsid w:val="00C56345"/>
    <w:rsid w:val="00C5702E"/>
    <w:rsid w:val="00C570ED"/>
    <w:rsid w:val="00C5767A"/>
    <w:rsid w:val="00C618CC"/>
    <w:rsid w:val="00C62053"/>
    <w:rsid w:val="00C62A97"/>
    <w:rsid w:val="00C64392"/>
    <w:rsid w:val="00C65005"/>
    <w:rsid w:val="00C65AE3"/>
    <w:rsid w:val="00C71C29"/>
    <w:rsid w:val="00C75DF8"/>
    <w:rsid w:val="00C81A61"/>
    <w:rsid w:val="00C82737"/>
    <w:rsid w:val="00C85573"/>
    <w:rsid w:val="00C94372"/>
    <w:rsid w:val="00C94C15"/>
    <w:rsid w:val="00C9574B"/>
    <w:rsid w:val="00CA1413"/>
    <w:rsid w:val="00CA5AC1"/>
    <w:rsid w:val="00CA6085"/>
    <w:rsid w:val="00CA76A2"/>
    <w:rsid w:val="00CB2326"/>
    <w:rsid w:val="00CB26C3"/>
    <w:rsid w:val="00CB4075"/>
    <w:rsid w:val="00CB4C17"/>
    <w:rsid w:val="00CB641B"/>
    <w:rsid w:val="00CC2BC1"/>
    <w:rsid w:val="00CC36EB"/>
    <w:rsid w:val="00CC5896"/>
    <w:rsid w:val="00CC6C59"/>
    <w:rsid w:val="00CC6C65"/>
    <w:rsid w:val="00CC796B"/>
    <w:rsid w:val="00CD1854"/>
    <w:rsid w:val="00CD2A71"/>
    <w:rsid w:val="00CD326A"/>
    <w:rsid w:val="00CD36A2"/>
    <w:rsid w:val="00CD4B52"/>
    <w:rsid w:val="00CD557A"/>
    <w:rsid w:val="00CD789E"/>
    <w:rsid w:val="00CD7AD2"/>
    <w:rsid w:val="00CE33AF"/>
    <w:rsid w:val="00CE36DC"/>
    <w:rsid w:val="00CE64E8"/>
    <w:rsid w:val="00CE7204"/>
    <w:rsid w:val="00CE760F"/>
    <w:rsid w:val="00CE761E"/>
    <w:rsid w:val="00CF052F"/>
    <w:rsid w:val="00CF17B3"/>
    <w:rsid w:val="00CF42E9"/>
    <w:rsid w:val="00CF52ED"/>
    <w:rsid w:val="00CF62B8"/>
    <w:rsid w:val="00CF779E"/>
    <w:rsid w:val="00CF7916"/>
    <w:rsid w:val="00D00B05"/>
    <w:rsid w:val="00D058A9"/>
    <w:rsid w:val="00D1209A"/>
    <w:rsid w:val="00D12A93"/>
    <w:rsid w:val="00D13052"/>
    <w:rsid w:val="00D146EC"/>
    <w:rsid w:val="00D2159B"/>
    <w:rsid w:val="00D2289B"/>
    <w:rsid w:val="00D2339D"/>
    <w:rsid w:val="00D24C17"/>
    <w:rsid w:val="00D26712"/>
    <w:rsid w:val="00D30537"/>
    <w:rsid w:val="00D306EF"/>
    <w:rsid w:val="00D30A7D"/>
    <w:rsid w:val="00D30F21"/>
    <w:rsid w:val="00D33F9F"/>
    <w:rsid w:val="00D3467F"/>
    <w:rsid w:val="00D35522"/>
    <w:rsid w:val="00D40B2C"/>
    <w:rsid w:val="00D4258E"/>
    <w:rsid w:val="00D45CFF"/>
    <w:rsid w:val="00D5122E"/>
    <w:rsid w:val="00D52E81"/>
    <w:rsid w:val="00D55AD0"/>
    <w:rsid w:val="00D62472"/>
    <w:rsid w:val="00D628F3"/>
    <w:rsid w:val="00D63EB3"/>
    <w:rsid w:val="00D640B9"/>
    <w:rsid w:val="00D670A5"/>
    <w:rsid w:val="00D72163"/>
    <w:rsid w:val="00D725D8"/>
    <w:rsid w:val="00D7349A"/>
    <w:rsid w:val="00D74A88"/>
    <w:rsid w:val="00D7694A"/>
    <w:rsid w:val="00D85A0A"/>
    <w:rsid w:val="00D87277"/>
    <w:rsid w:val="00D9135A"/>
    <w:rsid w:val="00D91F7E"/>
    <w:rsid w:val="00D931AD"/>
    <w:rsid w:val="00D95A03"/>
    <w:rsid w:val="00D97013"/>
    <w:rsid w:val="00D970AC"/>
    <w:rsid w:val="00D97228"/>
    <w:rsid w:val="00D97955"/>
    <w:rsid w:val="00DA08C7"/>
    <w:rsid w:val="00DA30CE"/>
    <w:rsid w:val="00DA4642"/>
    <w:rsid w:val="00DA4FD6"/>
    <w:rsid w:val="00DA552F"/>
    <w:rsid w:val="00DA5D60"/>
    <w:rsid w:val="00DA6639"/>
    <w:rsid w:val="00DA6BBB"/>
    <w:rsid w:val="00DB024A"/>
    <w:rsid w:val="00DB19E2"/>
    <w:rsid w:val="00DB256A"/>
    <w:rsid w:val="00DB2885"/>
    <w:rsid w:val="00DB28B9"/>
    <w:rsid w:val="00DB3328"/>
    <w:rsid w:val="00DB43F5"/>
    <w:rsid w:val="00DB6427"/>
    <w:rsid w:val="00DB6B43"/>
    <w:rsid w:val="00DC3811"/>
    <w:rsid w:val="00DC4E43"/>
    <w:rsid w:val="00DC5E29"/>
    <w:rsid w:val="00DC6136"/>
    <w:rsid w:val="00DC7663"/>
    <w:rsid w:val="00DD2BF2"/>
    <w:rsid w:val="00DD69A5"/>
    <w:rsid w:val="00DD766B"/>
    <w:rsid w:val="00DE15B2"/>
    <w:rsid w:val="00DE1F14"/>
    <w:rsid w:val="00DE2220"/>
    <w:rsid w:val="00DE297C"/>
    <w:rsid w:val="00DE2F62"/>
    <w:rsid w:val="00DE3EDA"/>
    <w:rsid w:val="00DE4F42"/>
    <w:rsid w:val="00DF23DA"/>
    <w:rsid w:val="00DF28D7"/>
    <w:rsid w:val="00DF2D9C"/>
    <w:rsid w:val="00DF35EE"/>
    <w:rsid w:val="00E00483"/>
    <w:rsid w:val="00E01688"/>
    <w:rsid w:val="00E0170A"/>
    <w:rsid w:val="00E0281B"/>
    <w:rsid w:val="00E06020"/>
    <w:rsid w:val="00E13F9F"/>
    <w:rsid w:val="00E15CA6"/>
    <w:rsid w:val="00E1727E"/>
    <w:rsid w:val="00E175E9"/>
    <w:rsid w:val="00E177FC"/>
    <w:rsid w:val="00E2141E"/>
    <w:rsid w:val="00E21E3D"/>
    <w:rsid w:val="00E25E37"/>
    <w:rsid w:val="00E26131"/>
    <w:rsid w:val="00E30728"/>
    <w:rsid w:val="00E319B5"/>
    <w:rsid w:val="00E4267A"/>
    <w:rsid w:val="00E430BF"/>
    <w:rsid w:val="00E43DA0"/>
    <w:rsid w:val="00E45D9F"/>
    <w:rsid w:val="00E45DC4"/>
    <w:rsid w:val="00E47C13"/>
    <w:rsid w:val="00E50D8C"/>
    <w:rsid w:val="00E542CC"/>
    <w:rsid w:val="00E55307"/>
    <w:rsid w:val="00E55AA7"/>
    <w:rsid w:val="00E55ECA"/>
    <w:rsid w:val="00E57942"/>
    <w:rsid w:val="00E60FE4"/>
    <w:rsid w:val="00E63A5B"/>
    <w:rsid w:val="00E652CE"/>
    <w:rsid w:val="00E6600D"/>
    <w:rsid w:val="00E74B26"/>
    <w:rsid w:val="00E75D87"/>
    <w:rsid w:val="00E769F5"/>
    <w:rsid w:val="00E76E50"/>
    <w:rsid w:val="00E77FE3"/>
    <w:rsid w:val="00E85315"/>
    <w:rsid w:val="00E9036E"/>
    <w:rsid w:val="00E95490"/>
    <w:rsid w:val="00EA1EEA"/>
    <w:rsid w:val="00EA23B7"/>
    <w:rsid w:val="00EA42CE"/>
    <w:rsid w:val="00EA6244"/>
    <w:rsid w:val="00EA7AC1"/>
    <w:rsid w:val="00EB27D3"/>
    <w:rsid w:val="00EB5E98"/>
    <w:rsid w:val="00EB69B5"/>
    <w:rsid w:val="00EB6F0F"/>
    <w:rsid w:val="00EB704E"/>
    <w:rsid w:val="00EB7785"/>
    <w:rsid w:val="00EC22B0"/>
    <w:rsid w:val="00EC2ACA"/>
    <w:rsid w:val="00EC3AC6"/>
    <w:rsid w:val="00EC5262"/>
    <w:rsid w:val="00ED0F8F"/>
    <w:rsid w:val="00ED255B"/>
    <w:rsid w:val="00ED5BA7"/>
    <w:rsid w:val="00EE0D49"/>
    <w:rsid w:val="00EE1A93"/>
    <w:rsid w:val="00EE3782"/>
    <w:rsid w:val="00EE73B2"/>
    <w:rsid w:val="00EF26F2"/>
    <w:rsid w:val="00EF2FD6"/>
    <w:rsid w:val="00EF339E"/>
    <w:rsid w:val="00EF6447"/>
    <w:rsid w:val="00EF7312"/>
    <w:rsid w:val="00F023DF"/>
    <w:rsid w:val="00F02A55"/>
    <w:rsid w:val="00F111A7"/>
    <w:rsid w:val="00F121F2"/>
    <w:rsid w:val="00F13B20"/>
    <w:rsid w:val="00F146DB"/>
    <w:rsid w:val="00F178F1"/>
    <w:rsid w:val="00F17BCB"/>
    <w:rsid w:val="00F21C3E"/>
    <w:rsid w:val="00F2317A"/>
    <w:rsid w:val="00F23625"/>
    <w:rsid w:val="00F23AC9"/>
    <w:rsid w:val="00F24A64"/>
    <w:rsid w:val="00F24E69"/>
    <w:rsid w:val="00F252A8"/>
    <w:rsid w:val="00F3038A"/>
    <w:rsid w:val="00F31154"/>
    <w:rsid w:val="00F31493"/>
    <w:rsid w:val="00F31A57"/>
    <w:rsid w:val="00F3212C"/>
    <w:rsid w:val="00F32F4D"/>
    <w:rsid w:val="00F3388D"/>
    <w:rsid w:val="00F37E99"/>
    <w:rsid w:val="00F40544"/>
    <w:rsid w:val="00F46E7C"/>
    <w:rsid w:val="00F46F43"/>
    <w:rsid w:val="00F5152D"/>
    <w:rsid w:val="00F53B7A"/>
    <w:rsid w:val="00F5423D"/>
    <w:rsid w:val="00F55545"/>
    <w:rsid w:val="00F55EC1"/>
    <w:rsid w:val="00F57CF3"/>
    <w:rsid w:val="00F6205A"/>
    <w:rsid w:val="00F635A2"/>
    <w:rsid w:val="00F63B44"/>
    <w:rsid w:val="00F6578B"/>
    <w:rsid w:val="00F66E26"/>
    <w:rsid w:val="00F678A2"/>
    <w:rsid w:val="00F740D9"/>
    <w:rsid w:val="00F74800"/>
    <w:rsid w:val="00F75FB9"/>
    <w:rsid w:val="00F7712A"/>
    <w:rsid w:val="00F80039"/>
    <w:rsid w:val="00F80471"/>
    <w:rsid w:val="00F83028"/>
    <w:rsid w:val="00F8454A"/>
    <w:rsid w:val="00F85340"/>
    <w:rsid w:val="00F860F6"/>
    <w:rsid w:val="00F879EB"/>
    <w:rsid w:val="00F9373F"/>
    <w:rsid w:val="00FA4DE6"/>
    <w:rsid w:val="00FA7FDF"/>
    <w:rsid w:val="00FB1259"/>
    <w:rsid w:val="00FB2B83"/>
    <w:rsid w:val="00FB2E4F"/>
    <w:rsid w:val="00FB3393"/>
    <w:rsid w:val="00FB46C6"/>
    <w:rsid w:val="00FB6A2B"/>
    <w:rsid w:val="00FB6D91"/>
    <w:rsid w:val="00FB7721"/>
    <w:rsid w:val="00FC0882"/>
    <w:rsid w:val="00FC3BB3"/>
    <w:rsid w:val="00FC3F98"/>
    <w:rsid w:val="00FC4513"/>
    <w:rsid w:val="00FC7DC6"/>
    <w:rsid w:val="00FD11C3"/>
    <w:rsid w:val="00FD1A16"/>
    <w:rsid w:val="00FD2964"/>
    <w:rsid w:val="00FD60AA"/>
    <w:rsid w:val="00FD73DE"/>
    <w:rsid w:val="00FE13FD"/>
    <w:rsid w:val="00FE7E68"/>
    <w:rsid w:val="00FF06A8"/>
    <w:rsid w:val="00FF15F6"/>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paragraph" w:customStyle="1" w:styleId="pdq2pgselectionanchorcontainer">
    <w:name w:val="pdq2pg_selectionanchorcontainer"/>
    <w:basedOn w:val="a"/>
    <w:rsid w:val="00A95C93"/>
    <w:pPr>
      <w:autoSpaceDE/>
      <w:autoSpaceDN/>
      <w:adjustRightInd/>
      <w:spacing w:before="100" w:beforeAutospacing="1" w:after="100" w:afterAutospacing="1"/>
    </w:pPr>
  </w:style>
  <w:style w:type="character" w:styleId="ae">
    <w:name w:val="Strong"/>
    <w:basedOn w:val="a0"/>
    <w:uiPriority w:val="22"/>
    <w:qFormat/>
    <w:rsid w:val="00A95C93"/>
    <w:rPr>
      <w:b/>
      <w:bCs/>
    </w:rPr>
  </w:style>
  <w:style w:type="paragraph" w:styleId="af">
    <w:name w:val="List Paragraph"/>
    <w:basedOn w:val="a"/>
    <w:uiPriority w:val="34"/>
    <w:qFormat/>
    <w:rsid w:val="00A54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8005">
      <w:bodyDiv w:val="1"/>
      <w:marLeft w:val="0"/>
      <w:marRight w:val="0"/>
      <w:marTop w:val="0"/>
      <w:marBottom w:val="0"/>
      <w:divBdr>
        <w:top w:val="none" w:sz="0" w:space="0" w:color="auto"/>
        <w:left w:val="none" w:sz="0" w:space="0" w:color="auto"/>
        <w:bottom w:val="none" w:sz="0" w:space="0" w:color="auto"/>
        <w:right w:val="none" w:sz="0" w:space="0" w:color="auto"/>
      </w:divBdr>
    </w:div>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372313343">
      <w:bodyDiv w:val="1"/>
      <w:marLeft w:val="0"/>
      <w:marRight w:val="0"/>
      <w:marTop w:val="0"/>
      <w:marBottom w:val="0"/>
      <w:divBdr>
        <w:top w:val="none" w:sz="0" w:space="0" w:color="auto"/>
        <w:left w:val="none" w:sz="0" w:space="0" w:color="auto"/>
        <w:bottom w:val="none" w:sz="0" w:space="0" w:color="auto"/>
        <w:right w:val="none" w:sz="0" w:space="0" w:color="auto"/>
      </w:divBdr>
    </w:div>
    <w:div w:id="421416075">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40FDC-8BA3-445A-A74C-E065C88D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4310</Words>
  <Characters>2458</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Світлана М. Решетник</cp:lastModifiedBy>
  <cp:revision>2</cp:revision>
  <dcterms:created xsi:type="dcterms:W3CDTF">2026-08-17T09:57:00Z</dcterms:created>
  <dcterms:modified xsi:type="dcterms:W3CDTF">2026-08-17T09:57:00Z</dcterms:modified>
</cp:coreProperties>
</file>