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763D" w:rsidRDefault="00E07661" w:rsidP="00F6763D">
      <w:pPr>
        <w:jc w:val="center"/>
        <w:rPr>
          <w:rFonts w:eastAsia="Times New Roman"/>
          <w:b/>
          <w:color w:val="0D0D0D" w:themeColor="text1" w:themeTint="F2"/>
          <w:szCs w:val="28"/>
          <w:lang w:eastAsia="ru-RU"/>
        </w:rPr>
      </w:pPr>
      <w:r>
        <w:rPr>
          <w:rFonts w:eastAsia="Times New Roman"/>
          <w:b/>
          <w:color w:val="0D0D0D" w:themeColor="text1" w:themeTint="F2"/>
          <w:szCs w:val="28"/>
          <w:lang w:eastAsia="ru-RU"/>
        </w:rPr>
        <w:t xml:space="preserve"> </w:t>
      </w:r>
    </w:p>
    <w:p w:rsidR="00F6763D" w:rsidRPr="008A71BE" w:rsidRDefault="00F6763D" w:rsidP="00F6763D">
      <w:pPr>
        <w:jc w:val="center"/>
        <w:rPr>
          <w:rFonts w:eastAsia="Times New Roman"/>
          <w:b/>
          <w:color w:val="0D0D0D" w:themeColor="text1" w:themeTint="F2"/>
          <w:szCs w:val="28"/>
          <w:lang w:eastAsia="ru-RU"/>
        </w:rPr>
      </w:pPr>
    </w:p>
    <w:p w:rsidR="00F6763D" w:rsidRPr="008A71BE" w:rsidRDefault="00E07661" w:rsidP="00F6763D">
      <w:pPr>
        <w:jc w:val="center"/>
        <w:rPr>
          <w:rFonts w:eastAsia="Times New Roman"/>
          <w:b/>
          <w:color w:val="0D0D0D" w:themeColor="text1" w:themeTint="F2"/>
          <w:szCs w:val="28"/>
          <w:lang w:eastAsia="ru-RU"/>
        </w:rPr>
      </w:pPr>
      <w:r>
        <w:rPr>
          <w:rFonts w:eastAsia="Times New Roman"/>
          <w:b/>
          <w:color w:val="0D0D0D" w:themeColor="text1" w:themeTint="F2"/>
          <w:szCs w:val="28"/>
          <w:lang w:eastAsia="ru-RU"/>
        </w:rPr>
        <w:t xml:space="preserve"> </w:t>
      </w:r>
    </w:p>
    <w:p w:rsidR="00F6763D" w:rsidRPr="008A71BE" w:rsidRDefault="00E07661" w:rsidP="00F6763D">
      <w:pPr>
        <w:jc w:val="center"/>
        <w:rPr>
          <w:rFonts w:eastAsia="Times New Roman"/>
          <w:b/>
          <w:color w:val="0D0D0D" w:themeColor="text1" w:themeTint="F2"/>
          <w:szCs w:val="28"/>
          <w:lang w:eastAsia="ru-RU"/>
        </w:rPr>
      </w:pPr>
      <w:r>
        <w:rPr>
          <w:rFonts w:eastAsia="Times New Roman"/>
          <w:b/>
          <w:color w:val="0D0D0D" w:themeColor="text1" w:themeTint="F2"/>
          <w:szCs w:val="28"/>
          <w:lang w:eastAsia="ru-RU"/>
        </w:rPr>
        <w:t xml:space="preserve"> </w:t>
      </w:r>
    </w:p>
    <w:p w:rsidR="00483AEA" w:rsidRPr="00A14EE9" w:rsidRDefault="00483AEA" w:rsidP="00A14EE9">
      <w:pPr>
        <w:tabs>
          <w:tab w:val="left" w:pos="7655"/>
        </w:tabs>
        <w:jc w:val="both"/>
        <w:rPr>
          <w:i/>
          <w:szCs w:val="28"/>
          <w:lang w:eastAsia="ru-RU"/>
        </w:rPr>
      </w:pPr>
    </w:p>
    <w:p w:rsidR="00483AEA" w:rsidRPr="00A14EE9" w:rsidRDefault="00483AEA" w:rsidP="00A14EE9">
      <w:pPr>
        <w:tabs>
          <w:tab w:val="left" w:pos="7655"/>
        </w:tabs>
        <w:jc w:val="both"/>
        <w:rPr>
          <w:rFonts w:eastAsia="Calibri"/>
          <w:i/>
          <w:szCs w:val="28"/>
          <w:lang w:eastAsia="ru-RU"/>
        </w:rPr>
      </w:pPr>
    </w:p>
    <w:p w:rsidR="00F9406D" w:rsidRDefault="00F9406D" w:rsidP="00A14EE9">
      <w:pPr>
        <w:tabs>
          <w:tab w:val="center" w:pos="4820"/>
        </w:tabs>
        <w:jc w:val="both"/>
        <w:rPr>
          <w:rFonts w:eastAsia="Times New Roman"/>
          <w:b/>
          <w:szCs w:val="28"/>
          <w:lang w:eastAsia="uk-UA"/>
        </w:rPr>
      </w:pPr>
    </w:p>
    <w:p w:rsidR="00483AEA" w:rsidRPr="00A14EE9" w:rsidRDefault="00483AEA" w:rsidP="00A14EE9">
      <w:pPr>
        <w:tabs>
          <w:tab w:val="center" w:pos="4820"/>
        </w:tabs>
        <w:jc w:val="both"/>
        <w:rPr>
          <w:rFonts w:eastAsia="Times New Roman"/>
          <w:b/>
          <w:szCs w:val="28"/>
          <w:lang w:eastAsia="uk-UA"/>
        </w:rPr>
      </w:pPr>
      <w:r w:rsidRPr="00A14EE9">
        <w:rPr>
          <w:rFonts w:eastAsia="Times New Roman"/>
          <w:b/>
          <w:szCs w:val="28"/>
          <w:lang w:eastAsia="uk-UA"/>
        </w:rPr>
        <w:t xml:space="preserve">про відмову у відкритті конституційного провадження у справі за конституційною скаргою </w:t>
      </w:r>
      <w:proofErr w:type="spellStart"/>
      <w:r w:rsidRPr="00A14EE9">
        <w:rPr>
          <w:rFonts w:eastAsia="Times New Roman"/>
          <w:b/>
          <w:szCs w:val="28"/>
          <w:lang w:eastAsia="uk-UA"/>
        </w:rPr>
        <w:t>Хабібулліна</w:t>
      </w:r>
      <w:proofErr w:type="spellEnd"/>
      <w:r w:rsidRPr="00A14EE9">
        <w:rPr>
          <w:rFonts w:eastAsia="Times New Roman"/>
          <w:b/>
          <w:szCs w:val="28"/>
          <w:lang w:eastAsia="uk-UA"/>
        </w:rPr>
        <w:t xml:space="preserve"> Вадима </w:t>
      </w:r>
      <w:proofErr w:type="spellStart"/>
      <w:r w:rsidRPr="00A14EE9">
        <w:rPr>
          <w:rFonts w:eastAsia="Times New Roman"/>
          <w:b/>
          <w:szCs w:val="28"/>
          <w:lang w:eastAsia="uk-UA"/>
        </w:rPr>
        <w:t>Монев’яровича</w:t>
      </w:r>
      <w:proofErr w:type="spellEnd"/>
      <w:r w:rsidRPr="00A14EE9">
        <w:rPr>
          <w:rFonts w:eastAsia="Times New Roman"/>
          <w:b/>
          <w:szCs w:val="28"/>
          <w:lang w:eastAsia="uk-UA"/>
        </w:rPr>
        <w:t xml:space="preserve"> щодо відповідності Конституції України (конституційності) частини першої </w:t>
      </w:r>
      <w:r w:rsidR="00A14EE9">
        <w:rPr>
          <w:rFonts w:eastAsia="Times New Roman"/>
          <w:b/>
          <w:szCs w:val="28"/>
          <w:lang w:eastAsia="uk-UA"/>
        </w:rPr>
        <w:tab/>
      </w:r>
      <w:r w:rsidRPr="00A14EE9">
        <w:rPr>
          <w:rFonts w:eastAsia="Times New Roman"/>
          <w:b/>
          <w:szCs w:val="28"/>
          <w:lang w:eastAsia="uk-UA"/>
        </w:rPr>
        <w:t>статті 308 Кримінального процесуального кодексу України</w:t>
      </w:r>
    </w:p>
    <w:p w:rsidR="00483AEA" w:rsidRPr="00A14EE9" w:rsidRDefault="00483AEA" w:rsidP="00A14EE9">
      <w:pPr>
        <w:jc w:val="both"/>
        <w:rPr>
          <w:rFonts w:eastAsia="Times New Roman"/>
          <w:b/>
          <w:szCs w:val="28"/>
          <w:lang w:eastAsia="uk-UA"/>
        </w:rPr>
      </w:pPr>
    </w:p>
    <w:p w:rsidR="00483AEA" w:rsidRPr="00A14EE9" w:rsidRDefault="00483AEA" w:rsidP="00A14EE9">
      <w:pPr>
        <w:jc w:val="both"/>
        <w:rPr>
          <w:rFonts w:eastAsia="Times New Roman"/>
          <w:szCs w:val="28"/>
          <w:lang w:eastAsia="uk-UA"/>
        </w:rPr>
      </w:pPr>
      <w:r w:rsidRPr="00A14EE9">
        <w:rPr>
          <w:rFonts w:eastAsia="Times New Roman"/>
          <w:szCs w:val="28"/>
          <w:lang w:eastAsia="uk-UA"/>
        </w:rPr>
        <w:t>К и ї в</w:t>
      </w:r>
      <w:r w:rsidRPr="00A14EE9">
        <w:rPr>
          <w:rFonts w:eastAsia="Times New Roman"/>
          <w:szCs w:val="28"/>
          <w:lang w:eastAsia="uk-UA"/>
        </w:rPr>
        <w:tab/>
      </w:r>
      <w:r w:rsidR="00A14EE9">
        <w:rPr>
          <w:rFonts w:eastAsia="Times New Roman"/>
          <w:szCs w:val="28"/>
          <w:lang w:eastAsia="uk-UA"/>
        </w:rPr>
        <w:tab/>
      </w:r>
      <w:r w:rsidR="00A14EE9">
        <w:rPr>
          <w:rFonts w:eastAsia="Times New Roman"/>
          <w:szCs w:val="28"/>
          <w:lang w:eastAsia="uk-UA"/>
        </w:rPr>
        <w:tab/>
      </w:r>
      <w:r w:rsidR="00A14EE9">
        <w:rPr>
          <w:rFonts w:eastAsia="Times New Roman"/>
          <w:szCs w:val="28"/>
          <w:lang w:eastAsia="uk-UA"/>
        </w:rPr>
        <w:tab/>
      </w:r>
      <w:r w:rsidR="00A14EE9">
        <w:rPr>
          <w:rFonts w:eastAsia="Times New Roman"/>
          <w:szCs w:val="28"/>
          <w:lang w:eastAsia="uk-UA"/>
        </w:rPr>
        <w:tab/>
      </w:r>
      <w:r w:rsidR="00A14EE9">
        <w:rPr>
          <w:rFonts w:eastAsia="Times New Roman"/>
          <w:szCs w:val="28"/>
          <w:lang w:eastAsia="uk-UA"/>
        </w:rPr>
        <w:tab/>
      </w:r>
      <w:r w:rsidR="00A14EE9">
        <w:rPr>
          <w:rFonts w:eastAsia="Times New Roman"/>
          <w:szCs w:val="28"/>
          <w:lang w:eastAsia="uk-UA"/>
        </w:rPr>
        <w:tab/>
        <w:t xml:space="preserve">      </w:t>
      </w:r>
      <w:r w:rsidRPr="00A14EE9">
        <w:rPr>
          <w:rFonts w:eastAsia="Times New Roman"/>
          <w:szCs w:val="28"/>
          <w:lang w:eastAsia="uk-UA"/>
        </w:rPr>
        <w:t>Справа №</w:t>
      </w:r>
      <w:r w:rsidR="00A14EE9">
        <w:rPr>
          <w:rFonts w:eastAsia="Times New Roman"/>
          <w:szCs w:val="28"/>
          <w:lang w:eastAsia="uk-UA"/>
        </w:rPr>
        <w:t xml:space="preserve"> </w:t>
      </w:r>
      <w:r w:rsidRPr="00A14EE9">
        <w:rPr>
          <w:rFonts w:eastAsia="Times New Roman"/>
          <w:szCs w:val="28"/>
          <w:lang w:eastAsia="uk-UA"/>
        </w:rPr>
        <w:t>3-121/2025(239/25)</w:t>
      </w:r>
    </w:p>
    <w:p w:rsidR="00483AEA" w:rsidRPr="00A14EE9" w:rsidRDefault="00F6763D" w:rsidP="00A14EE9">
      <w:pPr>
        <w:jc w:val="both"/>
        <w:rPr>
          <w:rFonts w:eastAsia="Times New Roman"/>
          <w:szCs w:val="28"/>
          <w:lang w:eastAsia="uk-UA"/>
        </w:rPr>
      </w:pPr>
      <w:r>
        <w:rPr>
          <w:rFonts w:eastAsia="Times New Roman"/>
          <w:szCs w:val="28"/>
          <w:lang w:eastAsia="uk-UA"/>
        </w:rPr>
        <w:t xml:space="preserve">23 липня </w:t>
      </w:r>
      <w:r w:rsidR="00483AEA" w:rsidRPr="00A14EE9">
        <w:rPr>
          <w:rFonts w:eastAsia="Times New Roman"/>
          <w:szCs w:val="28"/>
          <w:lang w:eastAsia="uk-UA"/>
        </w:rPr>
        <w:t>2025 року</w:t>
      </w:r>
    </w:p>
    <w:p w:rsidR="00483AEA" w:rsidRPr="00A14EE9" w:rsidRDefault="00483AEA" w:rsidP="00A14EE9">
      <w:pPr>
        <w:jc w:val="both"/>
        <w:rPr>
          <w:rFonts w:eastAsia="Times New Roman"/>
          <w:szCs w:val="28"/>
          <w:lang w:eastAsia="uk-UA"/>
        </w:rPr>
      </w:pPr>
      <w:r w:rsidRPr="00A14EE9">
        <w:rPr>
          <w:rFonts w:eastAsia="Times New Roman"/>
          <w:szCs w:val="28"/>
          <w:lang w:eastAsia="uk-UA"/>
        </w:rPr>
        <w:t xml:space="preserve">№ </w:t>
      </w:r>
      <w:r w:rsidR="00F6763D">
        <w:rPr>
          <w:rFonts w:eastAsia="Times New Roman"/>
          <w:szCs w:val="28"/>
          <w:lang w:eastAsia="uk-UA"/>
        </w:rPr>
        <w:t>84</w:t>
      </w:r>
      <w:r w:rsidRPr="00A14EE9">
        <w:rPr>
          <w:rFonts w:eastAsia="Times New Roman"/>
          <w:szCs w:val="28"/>
          <w:lang w:eastAsia="uk-UA"/>
        </w:rPr>
        <w:t>-2(І)/2025</w:t>
      </w:r>
    </w:p>
    <w:p w:rsidR="00483AEA" w:rsidRDefault="00483AEA" w:rsidP="00A14EE9">
      <w:pPr>
        <w:ind w:firstLine="567"/>
        <w:jc w:val="both"/>
        <w:rPr>
          <w:rFonts w:eastAsia="Times New Roman"/>
          <w:szCs w:val="28"/>
          <w:lang w:eastAsia="uk-UA"/>
        </w:rPr>
      </w:pPr>
    </w:p>
    <w:p w:rsidR="00F6763D" w:rsidRPr="00A14EE9" w:rsidRDefault="00F6763D" w:rsidP="00A14EE9">
      <w:pPr>
        <w:ind w:firstLine="567"/>
        <w:jc w:val="both"/>
        <w:rPr>
          <w:rFonts w:eastAsia="Times New Roman"/>
          <w:szCs w:val="28"/>
          <w:lang w:eastAsia="uk-UA"/>
        </w:rPr>
      </w:pPr>
    </w:p>
    <w:p w:rsidR="00483AEA" w:rsidRPr="00A14EE9" w:rsidRDefault="00483AEA" w:rsidP="00A14EE9">
      <w:pPr>
        <w:ind w:firstLine="567"/>
        <w:jc w:val="both"/>
        <w:rPr>
          <w:rFonts w:eastAsia="Calibri"/>
          <w:szCs w:val="28"/>
        </w:rPr>
      </w:pPr>
      <w:r w:rsidRPr="00A14EE9">
        <w:rPr>
          <w:szCs w:val="28"/>
        </w:rPr>
        <w:t xml:space="preserve">Друга колегія суддів Першого сенату Конституційного Суду України </w:t>
      </w:r>
      <w:r w:rsidRPr="00A14EE9">
        <w:rPr>
          <w:szCs w:val="28"/>
        </w:rPr>
        <w:br/>
        <w:t>у складі:</w:t>
      </w:r>
    </w:p>
    <w:p w:rsidR="00483AEA" w:rsidRPr="00A14EE9" w:rsidRDefault="00483AEA" w:rsidP="00A14EE9">
      <w:pPr>
        <w:pStyle w:val="a3"/>
        <w:spacing w:after="0" w:line="240" w:lineRule="auto"/>
        <w:ind w:firstLine="567"/>
        <w:jc w:val="both"/>
        <w:rPr>
          <w:rFonts w:ascii="Times New Roman" w:hAnsi="Times New Roman" w:cs="Times New Roman"/>
          <w:sz w:val="28"/>
          <w:szCs w:val="28"/>
        </w:rPr>
      </w:pPr>
    </w:p>
    <w:p w:rsidR="00483AEA" w:rsidRPr="00A14EE9" w:rsidRDefault="00483AEA" w:rsidP="00A14EE9">
      <w:pPr>
        <w:ind w:firstLine="567"/>
        <w:jc w:val="both"/>
        <w:rPr>
          <w:rFonts w:eastAsia="Times New Roman"/>
          <w:szCs w:val="28"/>
          <w:lang w:eastAsia="uk-UA"/>
        </w:rPr>
      </w:pPr>
      <w:r w:rsidRPr="00A14EE9">
        <w:rPr>
          <w:rFonts w:eastAsia="Times New Roman"/>
          <w:szCs w:val="28"/>
          <w:lang w:eastAsia="uk-UA"/>
        </w:rPr>
        <w:t xml:space="preserve">Грищук Оксани Вікторівни – </w:t>
      </w:r>
      <w:proofErr w:type="spellStart"/>
      <w:r w:rsidRPr="00A14EE9">
        <w:rPr>
          <w:rFonts w:eastAsia="Times New Roman"/>
          <w:szCs w:val="28"/>
          <w:lang w:val="ru-RU" w:eastAsia="uk-UA"/>
        </w:rPr>
        <w:t>головуючого</w:t>
      </w:r>
      <w:proofErr w:type="spellEnd"/>
      <w:r w:rsidRPr="00A14EE9">
        <w:rPr>
          <w:rFonts w:eastAsia="Times New Roman"/>
          <w:szCs w:val="28"/>
          <w:lang w:eastAsia="uk-UA"/>
        </w:rPr>
        <w:t>,</w:t>
      </w:r>
    </w:p>
    <w:p w:rsidR="00483AEA" w:rsidRPr="00A14EE9" w:rsidRDefault="00483AEA" w:rsidP="00A14EE9">
      <w:pPr>
        <w:ind w:firstLine="567"/>
        <w:jc w:val="both"/>
        <w:rPr>
          <w:rFonts w:eastAsia="Times New Roman"/>
          <w:szCs w:val="28"/>
          <w:lang w:eastAsia="uk-UA"/>
        </w:rPr>
      </w:pPr>
      <w:proofErr w:type="spellStart"/>
      <w:r w:rsidRPr="00A14EE9">
        <w:rPr>
          <w:rFonts w:eastAsia="Times New Roman"/>
          <w:szCs w:val="28"/>
          <w:lang w:eastAsia="uk-UA"/>
        </w:rPr>
        <w:t>Петришина</w:t>
      </w:r>
      <w:proofErr w:type="spellEnd"/>
      <w:r w:rsidRPr="00A14EE9">
        <w:rPr>
          <w:rFonts w:eastAsia="Times New Roman"/>
          <w:szCs w:val="28"/>
          <w:lang w:eastAsia="uk-UA"/>
        </w:rPr>
        <w:t xml:space="preserve"> Олександра Віталійовича,</w:t>
      </w:r>
    </w:p>
    <w:p w:rsidR="00483AEA" w:rsidRPr="00A14EE9" w:rsidRDefault="00483AEA" w:rsidP="00A14EE9">
      <w:pPr>
        <w:ind w:firstLine="567"/>
        <w:jc w:val="both"/>
        <w:rPr>
          <w:rFonts w:eastAsia="Times New Roman"/>
          <w:szCs w:val="28"/>
          <w:lang w:eastAsia="uk-UA"/>
        </w:rPr>
      </w:pPr>
      <w:proofErr w:type="spellStart"/>
      <w:r w:rsidRPr="00A14EE9">
        <w:rPr>
          <w:rFonts w:eastAsia="Times New Roman"/>
          <w:szCs w:val="28"/>
          <w:lang w:eastAsia="uk-UA"/>
        </w:rPr>
        <w:t>Совгирі</w:t>
      </w:r>
      <w:proofErr w:type="spellEnd"/>
      <w:r w:rsidRPr="00A14EE9">
        <w:rPr>
          <w:rFonts w:eastAsia="Times New Roman"/>
          <w:szCs w:val="28"/>
          <w:lang w:eastAsia="uk-UA"/>
        </w:rPr>
        <w:t xml:space="preserve"> Ольги Володимирівни – доповідача,</w:t>
      </w:r>
    </w:p>
    <w:p w:rsidR="00483AEA" w:rsidRPr="00A14EE9" w:rsidRDefault="00483AEA" w:rsidP="00A14EE9">
      <w:pPr>
        <w:spacing w:line="360" w:lineRule="auto"/>
        <w:ind w:firstLine="567"/>
        <w:jc w:val="both"/>
        <w:rPr>
          <w:rFonts w:eastAsia="Times New Roman"/>
          <w:szCs w:val="28"/>
          <w:lang w:eastAsia="uk-UA"/>
        </w:rPr>
      </w:pPr>
    </w:p>
    <w:p w:rsidR="00483AEA" w:rsidRPr="00A14EE9" w:rsidRDefault="00483AEA" w:rsidP="00A14EE9">
      <w:pPr>
        <w:spacing w:line="360" w:lineRule="auto"/>
        <w:ind w:firstLine="567"/>
        <w:jc w:val="both"/>
        <w:rPr>
          <w:rFonts w:eastAsia="Times New Roman"/>
          <w:szCs w:val="28"/>
          <w:lang w:eastAsia="uk-UA"/>
        </w:rPr>
      </w:pPr>
      <w:r w:rsidRPr="00A14EE9">
        <w:rPr>
          <w:rFonts w:eastAsia="Times New Roman"/>
          <w:szCs w:val="28"/>
          <w:lang w:eastAsia="uk-UA"/>
        </w:rPr>
        <w:t xml:space="preserve">розглянула на засіданні питання про відкриття конституційного провадження у справі за конституційною скаргою </w:t>
      </w:r>
      <w:proofErr w:type="spellStart"/>
      <w:r w:rsidRPr="00A14EE9">
        <w:rPr>
          <w:rFonts w:eastAsia="Times New Roman"/>
          <w:szCs w:val="28"/>
          <w:lang w:eastAsia="uk-UA"/>
        </w:rPr>
        <w:t>Хабібулліна</w:t>
      </w:r>
      <w:proofErr w:type="spellEnd"/>
      <w:r w:rsidRPr="00A14EE9">
        <w:rPr>
          <w:rFonts w:eastAsia="Times New Roman"/>
          <w:szCs w:val="28"/>
          <w:lang w:eastAsia="uk-UA"/>
        </w:rPr>
        <w:t xml:space="preserve"> Вадима </w:t>
      </w:r>
      <w:proofErr w:type="spellStart"/>
      <w:r w:rsidRPr="00A14EE9">
        <w:rPr>
          <w:rFonts w:eastAsia="Times New Roman"/>
          <w:szCs w:val="28"/>
          <w:lang w:eastAsia="uk-UA"/>
        </w:rPr>
        <w:t>Монев’яровича</w:t>
      </w:r>
      <w:proofErr w:type="spellEnd"/>
      <w:r w:rsidRPr="00A14EE9">
        <w:rPr>
          <w:rFonts w:eastAsia="Times New Roman"/>
          <w:szCs w:val="28"/>
          <w:lang w:eastAsia="uk-UA"/>
        </w:rPr>
        <w:t xml:space="preserve"> щодо відповідності Конституції України (конституційності) частини першої статті 308 Кримінального процесуального кодексу України.</w:t>
      </w:r>
    </w:p>
    <w:p w:rsidR="00483AEA" w:rsidRPr="00A14EE9" w:rsidRDefault="00483AEA" w:rsidP="00A14EE9">
      <w:pPr>
        <w:spacing w:line="360" w:lineRule="auto"/>
        <w:ind w:firstLine="567"/>
        <w:jc w:val="both"/>
        <w:rPr>
          <w:rFonts w:eastAsia="Times New Roman"/>
          <w:szCs w:val="28"/>
          <w:lang w:eastAsia="uk-UA"/>
        </w:rPr>
      </w:pPr>
    </w:p>
    <w:p w:rsidR="00483AEA" w:rsidRPr="00A14EE9" w:rsidRDefault="00483AEA" w:rsidP="00A14EE9">
      <w:pPr>
        <w:spacing w:line="360" w:lineRule="auto"/>
        <w:ind w:firstLine="567"/>
        <w:jc w:val="both"/>
        <w:rPr>
          <w:rFonts w:eastAsia="Times New Roman"/>
          <w:szCs w:val="28"/>
          <w:lang w:eastAsia="uk-UA"/>
        </w:rPr>
      </w:pPr>
      <w:r w:rsidRPr="00A14EE9">
        <w:rPr>
          <w:rFonts w:eastAsia="Times New Roman"/>
          <w:szCs w:val="28"/>
          <w:lang w:eastAsia="uk-UA"/>
        </w:rPr>
        <w:t xml:space="preserve">Заслухавши суддю-доповідача </w:t>
      </w:r>
      <w:proofErr w:type="spellStart"/>
      <w:r w:rsidRPr="00A14EE9">
        <w:rPr>
          <w:rFonts w:eastAsia="Times New Roman"/>
          <w:szCs w:val="28"/>
          <w:lang w:eastAsia="uk-UA"/>
        </w:rPr>
        <w:t>Совгирю</w:t>
      </w:r>
      <w:proofErr w:type="spellEnd"/>
      <w:r w:rsidRPr="00A14EE9">
        <w:rPr>
          <w:rFonts w:eastAsia="Times New Roman"/>
          <w:szCs w:val="28"/>
          <w:lang w:eastAsia="uk-UA"/>
        </w:rPr>
        <w:t xml:space="preserve"> О.В. та дослідивши матеріали справи, Друга колегія суддів Першого сенату Конституційного Суду України</w:t>
      </w:r>
    </w:p>
    <w:p w:rsidR="00483AEA" w:rsidRPr="00A14EE9" w:rsidRDefault="00483AEA" w:rsidP="00A14EE9">
      <w:pPr>
        <w:spacing w:line="360" w:lineRule="auto"/>
        <w:ind w:firstLine="567"/>
        <w:jc w:val="both"/>
        <w:rPr>
          <w:rFonts w:eastAsia="Times New Roman"/>
          <w:szCs w:val="28"/>
          <w:lang w:eastAsia="uk-UA"/>
        </w:rPr>
      </w:pPr>
    </w:p>
    <w:p w:rsidR="00483AEA" w:rsidRPr="00A14EE9" w:rsidRDefault="00483AEA" w:rsidP="00A14EE9">
      <w:pPr>
        <w:spacing w:line="360" w:lineRule="auto"/>
        <w:jc w:val="center"/>
        <w:rPr>
          <w:rFonts w:eastAsia="Times New Roman"/>
          <w:b/>
          <w:szCs w:val="28"/>
          <w:lang w:eastAsia="uk-UA"/>
        </w:rPr>
      </w:pPr>
      <w:r w:rsidRPr="00A14EE9">
        <w:rPr>
          <w:rFonts w:eastAsia="Times New Roman"/>
          <w:b/>
          <w:szCs w:val="28"/>
          <w:lang w:eastAsia="uk-UA"/>
        </w:rPr>
        <w:t>у с т а н о в и л а:</w:t>
      </w:r>
    </w:p>
    <w:p w:rsidR="00483AEA" w:rsidRPr="00A14EE9" w:rsidRDefault="00483AEA" w:rsidP="00A14EE9">
      <w:pPr>
        <w:spacing w:line="360" w:lineRule="auto"/>
        <w:ind w:firstLine="567"/>
        <w:jc w:val="both"/>
        <w:rPr>
          <w:rFonts w:eastAsia="Times New Roman"/>
          <w:szCs w:val="28"/>
          <w:lang w:eastAsia="uk-UA"/>
        </w:rPr>
      </w:pPr>
    </w:p>
    <w:p w:rsidR="00483AEA" w:rsidRPr="00A14EE9" w:rsidRDefault="00483AEA" w:rsidP="00A14EE9">
      <w:pPr>
        <w:spacing w:line="360" w:lineRule="auto"/>
        <w:ind w:firstLine="567"/>
        <w:jc w:val="both"/>
        <w:rPr>
          <w:rFonts w:eastAsia="Calibri"/>
          <w:color w:val="000000"/>
          <w:szCs w:val="28"/>
        </w:rPr>
      </w:pPr>
      <w:r w:rsidRPr="00A14EE9">
        <w:rPr>
          <w:szCs w:val="28"/>
          <w:lang w:eastAsia="uk-UA"/>
        </w:rPr>
        <w:t xml:space="preserve">1. </w:t>
      </w:r>
      <w:proofErr w:type="spellStart"/>
      <w:r w:rsidRPr="00A14EE9">
        <w:rPr>
          <w:szCs w:val="28"/>
          <w:lang w:eastAsia="uk-UA"/>
        </w:rPr>
        <w:t>Хабібуллін</w:t>
      </w:r>
      <w:proofErr w:type="spellEnd"/>
      <w:r w:rsidRPr="00A14EE9">
        <w:rPr>
          <w:szCs w:val="28"/>
          <w:lang w:eastAsia="uk-UA"/>
        </w:rPr>
        <w:t xml:space="preserve"> В.М. звернувся до Конституційного Суду України </w:t>
      </w:r>
      <w:r w:rsidR="00F6763D">
        <w:rPr>
          <w:szCs w:val="28"/>
          <w:lang w:eastAsia="uk-UA"/>
        </w:rPr>
        <w:br/>
      </w:r>
      <w:r w:rsidRPr="00A14EE9">
        <w:rPr>
          <w:szCs w:val="28"/>
          <w:lang w:eastAsia="uk-UA"/>
        </w:rPr>
        <w:t xml:space="preserve">з клопотанням перевірити на відповідність статтям 3, 5, 8, 9, 24, 55, 64 Конституції України (конституційність) частину першу статті 308 Кримінального процесуального кодексу України (далі – Кодекс), згідно з якою </w:t>
      </w:r>
      <w:r w:rsidRPr="00A14EE9">
        <w:rPr>
          <w:szCs w:val="28"/>
          <w:lang w:eastAsia="uk-UA"/>
        </w:rPr>
        <w:lastRenderedPageBreak/>
        <w:t xml:space="preserve">„підозрюваний, обвинувачений, потерпілий, інші особи, права чи законні інтереси яких обмежуються під час досудового розслідування, мають право оскаржити прокурору вищого рівня недотримання розумних строків слідчим, </w:t>
      </w:r>
      <w:proofErr w:type="spellStart"/>
      <w:r w:rsidRPr="00A14EE9">
        <w:rPr>
          <w:szCs w:val="28"/>
          <w:lang w:eastAsia="uk-UA"/>
        </w:rPr>
        <w:t>дізнавачем</w:t>
      </w:r>
      <w:proofErr w:type="spellEnd"/>
      <w:r w:rsidRPr="00A14EE9">
        <w:rPr>
          <w:szCs w:val="28"/>
          <w:lang w:eastAsia="uk-UA"/>
        </w:rPr>
        <w:t>, прокурором під час досудового розслідування“</w:t>
      </w:r>
      <w:r w:rsidR="00A14EE9">
        <w:rPr>
          <w:color w:val="000000"/>
          <w:szCs w:val="28"/>
        </w:rPr>
        <w:t>.</w:t>
      </w:r>
    </w:p>
    <w:p w:rsidR="00483AEA" w:rsidRPr="00A14EE9" w:rsidRDefault="00483AEA" w:rsidP="00A14EE9">
      <w:pPr>
        <w:spacing w:line="360" w:lineRule="auto"/>
        <w:ind w:firstLine="567"/>
        <w:jc w:val="both"/>
        <w:rPr>
          <w:rFonts w:eastAsia="Times New Roman"/>
          <w:szCs w:val="28"/>
          <w:lang w:eastAsia="uk-UA"/>
        </w:rPr>
      </w:pPr>
    </w:p>
    <w:p w:rsidR="00483AEA" w:rsidRPr="00A14EE9" w:rsidRDefault="00483AEA" w:rsidP="00A14EE9">
      <w:pPr>
        <w:spacing w:line="360" w:lineRule="auto"/>
        <w:ind w:firstLine="567"/>
        <w:jc w:val="both"/>
        <w:rPr>
          <w:rFonts w:eastAsia="Times New Roman"/>
          <w:szCs w:val="28"/>
          <w:lang w:eastAsia="uk-UA"/>
        </w:rPr>
      </w:pPr>
      <w:r w:rsidRPr="00A14EE9">
        <w:rPr>
          <w:rFonts w:eastAsia="Times New Roman"/>
          <w:szCs w:val="28"/>
          <w:lang w:eastAsia="uk-UA"/>
        </w:rPr>
        <w:t xml:space="preserve">2. Зі змісту конституційної скарги та долучених до </w:t>
      </w:r>
      <w:r w:rsidR="00A14EE9">
        <w:rPr>
          <w:rFonts w:eastAsia="Times New Roman"/>
          <w:szCs w:val="28"/>
          <w:lang w:eastAsia="uk-UA"/>
        </w:rPr>
        <w:t>неї матеріалів убачається таке.</w:t>
      </w:r>
    </w:p>
    <w:p w:rsidR="00483AEA" w:rsidRPr="00A14EE9" w:rsidRDefault="00483AEA" w:rsidP="00A14EE9">
      <w:pPr>
        <w:spacing w:line="360" w:lineRule="auto"/>
        <w:ind w:firstLine="567"/>
        <w:jc w:val="both"/>
        <w:rPr>
          <w:rFonts w:eastAsia="Times New Roman"/>
          <w:szCs w:val="28"/>
          <w:lang w:eastAsia="uk-UA"/>
        </w:rPr>
      </w:pPr>
      <w:proofErr w:type="spellStart"/>
      <w:r w:rsidRPr="00A14EE9">
        <w:rPr>
          <w:rFonts w:eastAsia="Times New Roman"/>
          <w:szCs w:val="28"/>
          <w:lang w:eastAsia="uk-UA"/>
        </w:rPr>
        <w:t>Хабібуллін</w:t>
      </w:r>
      <w:proofErr w:type="spellEnd"/>
      <w:r w:rsidRPr="00A14EE9">
        <w:rPr>
          <w:rFonts w:eastAsia="Times New Roman"/>
          <w:szCs w:val="28"/>
          <w:lang w:eastAsia="uk-UA"/>
        </w:rPr>
        <w:t> В.М. звернувся до Спеціалізованої антикорупційної прокуратури зі скаргою на недотримання розумних строків досудового розслідування у кримінальному провадженні, у якому він є заявником, тобто особою, яка подала повідомлення про кримінальні правопорушення. Прокурор рішенням від 26 червня 2025 року відмовив</w:t>
      </w:r>
      <w:r w:rsidRPr="00A14EE9">
        <w:rPr>
          <w:szCs w:val="28"/>
        </w:rPr>
        <w:t xml:space="preserve"> </w:t>
      </w:r>
      <w:r w:rsidRPr="00A14EE9">
        <w:rPr>
          <w:rFonts w:eastAsia="Times New Roman"/>
          <w:szCs w:val="28"/>
          <w:lang w:eastAsia="uk-UA"/>
        </w:rPr>
        <w:t xml:space="preserve">у задоволенні зазначеної скарги з огляду на те, що </w:t>
      </w:r>
      <w:proofErr w:type="spellStart"/>
      <w:r w:rsidRPr="00A14EE9">
        <w:rPr>
          <w:rFonts w:eastAsia="Times New Roman"/>
          <w:szCs w:val="28"/>
          <w:lang w:eastAsia="uk-UA"/>
        </w:rPr>
        <w:t>Хабібуллін</w:t>
      </w:r>
      <w:proofErr w:type="spellEnd"/>
      <w:r w:rsidRPr="00A14EE9">
        <w:rPr>
          <w:rFonts w:eastAsia="Times New Roman"/>
          <w:szCs w:val="28"/>
          <w:lang w:eastAsia="uk-UA"/>
        </w:rPr>
        <w:t xml:space="preserve"> В.М. не є особою, яка має право на оскарження недотримання розумних строків слідчим, </w:t>
      </w:r>
      <w:proofErr w:type="spellStart"/>
      <w:r w:rsidRPr="00A14EE9">
        <w:rPr>
          <w:rFonts w:eastAsia="Times New Roman"/>
          <w:szCs w:val="28"/>
          <w:lang w:eastAsia="uk-UA"/>
        </w:rPr>
        <w:t>дізнавачем</w:t>
      </w:r>
      <w:proofErr w:type="spellEnd"/>
      <w:r w:rsidRPr="00A14EE9">
        <w:rPr>
          <w:rFonts w:eastAsia="Times New Roman"/>
          <w:szCs w:val="28"/>
          <w:lang w:eastAsia="uk-UA"/>
        </w:rPr>
        <w:t>, прокурором під час досудового розслідування відповідно до статті 308 Кодексу.</w:t>
      </w:r>
    </w:p>
    <w:p w:rsidR="00483AEA" w:rsidRPr="00A14EE9" w:rsidRDefault="00483AEA" w:rsidP="00A14EE9">
      <w:pPr>
        <w:spacing w:line="360" w:lineRule="auto"/>
        <w:ind w:firstLine="567"/>
        <w:jc w:val="both"/>
        <w:rPr>
          <w:rFonts w:eastAsia="Times New Roman"/>
          <w:szCs w:val="28"/>
          <w:lang w:eastAsia="uk-UA"/>
        </w:rPr>
      </w:pPr>
      <w:r w:rsidRPr="00A14EE9">
        <w:rPr>
          <w:rFonts w:eastAsia="Times New Roman"/>
          <w:szCs w:val="28"/>
          <w:lang w:eastAsia="uk-UA"/>
        </w:rPr>
        <w:t xml:space="preserve">Слідчий суддя Вищого антикорупційного суду, до якого </w:t>
      </w:r>
      <w:proofErr w:type="spellStart"/>
      <w:r w:rsidRPr="00A14EE9">
        <w:rPr>
          <w:rFonts w:eastAsia="Times New Roman"/>
          <w:szCs w:val="28"/>
          <w:lang w:eastAsia="uk-UA"/>
        </w:rPr>
        <w:t>Хабібуллін</w:t>
      </w:r>
      <w:proofErr w:type="spellEnd"/>
      <w:r w:rsidRPr="00A14EE9">
        <w:rPr>
          <w:rFonts w:eastAsia="Times New Roman"/>
          <w:szCs w:val="28"/>
          <w:lang w:eastAsia="uk-UA"/>
        </w:rPr>
        <w:t xml:space="preserve"> В.М. звернувся зі скаргою на рішення прокурора від 26 червня 2025 року, ухвалою </w:t>
      </w:r>
      <w:r w:rsidRPr="00A14EE9">
        <w:rPr>
          <w:rFonts w:eastAsia="Times New Roman"/>
          <w:szCs w:val="28"/>
          <w:lang w:eastAsia="uk-UA"/>
        </w:rPr>
        <w:br/>
        <w:t xml:space="preserve">від 1 липня 2025 року відмовив у задоволенні вказаної скарги, зазначивши, що </w:t>
      </w:r>
      <w:proofErr w:type="spellStart"/>
      <w:r w:rsidRPr="00A14EE9">
        <w:rPr>
          <w:rFonts w:eastAsia="Times New Roman"/>
          <w:szCs w:val="28"/>
          <w:lang w:eastAsia="uk-UA"/>
        </w:rPr>
        <w:t>Хабібуллін</w:t>
      </w:r>
      <w:proofErr w:type="spellEnd"/>
      <w:r w:rsidRPr="00A14EE9">
        <w:rPr>
          <w:rFonts w:eastAsia="Times New Roman"/>
          <w:szCs w:val="28"/>
          <w:lang w:eastAsia="uk-UA"/>
        </w:rPr>
        <w:t xml:space="preserve"> В.М. не надав доказів того, що в кримінальному провадженні обмежено його права, а отже, не довів, що він є особою, яка має право звертатися зі скаргою в порядку, визначеному статтею 308 Кодексу. </w:t>
      </w:r>
    </w:p>
    <w:p w:rsidR="00483AEA" w:rsidRPr="00A14EE9" w:rsidRDefault="00483AEA" w:rsidP="00A14EE9">
      <w:pPr>
        <w:spacing w:line="360" w:lineRule="auto"/>
        <w:ind w:firstLine="567"/>
        <w:jc w:val="both"/>
        <w:rPr>
          <w:rFonts w:eastAsia="Times New Roman"/>
          <w:szCs w:val="28"/>
          <w:lang w:eastAsia="uk-UA"/>
        </w:rPr>
      </w:pPr>
      <w:proofErr w:type="spellStart"/>
      <w:r w:rsidRPr="00A14EE9">
        <w:rPr>
          <w:rFonts w:eastAsia="Times New Roman"/>
          <w:szCs w:val="28"/>
          <w:lang w:eastAsia="uk-UA"/>
        </w:rPr>
        <w:t>Хабібуллін</w:t>
      </w:r>
      <w:proofErr w:type="spellEnd"/>
      <w:r w:rsidRPr="00A14EE9">
        <w:rPr>
          <w:rFonts w:eastAsia="Times New Roman"/>
          <w:szCs w:val="28"/>
          <w:lang w:eastAsia="uk-UA"/>
        </w:rPr>
        <w:t xml:space="preserve"> В.М. вважає, що частина перша статті 308 Кодексу «в тій частині, яка обмежує коло осіб, що мають право оскаржувати прокурору вищого рівня недотримання розумних строків досудового розслідування, виключно підозрюваними, обвинуваченими, потерпілими, і не передбачає такого права для „інших осіб“, права чи законні інтереси яких можуть бути обмежені внаслідок затягування слідства, зокрема громадян, які не мають процесуального статусу, але дізналися про існування кримінального провадження та вбачають у ньому порушення закону </w:t>
      </w:r>
      <w:r w:rsidR="00E07661">
        <w:rPr>
          <w:rFonts w:eastAsia="Times New Roman"/>
          <w:szCs w:val="28"/>
          <w:lang w:eastAsia="uk-UA"/>
        </w:rPr>
        <w:t>або можливі прояви корупції &lt;…&gt;</w:t>
      </w:r>
      <w:r w:rsidRPr="00A14EE9">
        <w:rPr>
          <w:rFonts w:eastAsia="Times New Roman"/>
          <w:szCs w:val="28"/>
          <w:lang w:eastAsia="uk-UA"/>
        </w:rPr>
        <w:t xml:space="preserve"> унеможливлює ефективний захист „інших осіб“ від порушень та суперечить їхнім </w:t>
      </w:r>
      <w:r w:rsidRPr="00A14EE9">
        <w:rPr>
          <w:rFonts w:eastAsia="Times New Roman"/>
          <w:szCs w:val="28"/>
          <w:lang w:eastAsia="uk-UA"/>
        </w:rPr>
        <w:lastRenderedPageBreak/>
        <w:t>конституційним правам на судовий захист, рівність і верховенство права, суперечить конституційному принципу народного суверенітету і зобов’язанню держави бути підконтрольною громадянам».</w:t>
      </w:r>
    </w:p>
    <w:p w:rsidR="00483AEA" w:rsidRPr="00A14EE9" w:rsidRDefault="00483AEA" w:rsidP="00A14EE9">
      <w:pPr>
        <w:spacing w:line="360" w:lineRule="auto"/>
        <w:ind w:firstLine="567"/>
        <w:jc w:val="both"/>
        <w:rPr>
          <w:rFonts w:eastAsia="Times New Roman"/>
          <w:i/>
          <w:szCs w:val="28"/>
          <w:lang w:eastAsia="uk-UA"/>
        </w:rPr>
      </w:pPr>
    </w:p>
    <w:p w:rsidR="00483AEA" w:rsidRPr="00A14EE9" w:rsidRDefault="00483AEA" w:rsidP="00A14EE9">
      <w:pPr>
        <w:spacing w:line="360" w:lineRule="auto"/>
        <w:ind w:firstLine="567"/>
        <w:jc w:val="both"/>
        <w:rPr>
          <w:rFonts w:eastAsia="Times New Roman"/>
          <w:szCs w:val="28"/>
          <w:lang w:eastAsia="uk-UA"/>
        </w:rPr>
      </w:pPr>
      <w:r w:rsidRPr="00A14EE9">
        <w:rPr>
          <w:rFonts w:eastAsia="Times New Roman"/>
          <w:szCs w:val="28"/>
          <w:lang w:eastAsia="uk-UA"/>
        </w:rPr>
        <w:t>3. Вирішуючи питання про відкриття конституційного провадження у справі, Друга колегія суддів Першого сенату Конституційного Суду України виходить із такого.</w:t>
      </w:r>
    </w:p>
    <w:p w:rsidR="00483AEA" w:rsidRPr="00A14EE9" w:rsidRDefault="00483AEA" w:rsidP="00A14EE9">
      <w:pPr>
        <w:spacing w:line="360" w:lineRule="auto"/>
        <w:ind w:firstLine="567"/>
        <w:jc w:val="both"/>
        <w:rPr>
          <w:rFonts w:eastAsia="Times New Roman"/>
          <w:szCs w:val="28"/>
          <w:lang w:eastAsia="uk-UA"/>
        </w:rPr>
      </w:pPr>
      <w:r w:rsidRPr="00A14EE9">
        <w:rPr>
          <w:rFonts w:eastAsia="Times New Roman"/>
          <w:szCs w:val="28"/>
          <w:lang w:eastAsia="uk-UA"/>
        </w:rPr>
        <w:t xml:space="preserve">Згідно із Законом України „Про Конституційний Суд України“ конституційною скаргою є подане до Конституційного Суду України письмове клопотання щодо перевірки на відповідність Конституції України (конституційність) закону України (його окремих положень), що застосований </w:t>
      </w:r>
      <w:r w:rsidR="00E07661">
        <w:rPr>
          <w:rFonts w:eastAsia="Times New Roman"/>
          <w:szCs w:val="28"/>
          <w:lang w:eastAsia="uk-UA"/>
        </w:rPr>
        <w:br/>
      </w:r>
      <w:r w:rsidRPr="00A14EE9">
        <w:rPr>
          <w:rFonts w:eastAsia="Times New Roman"/>
          <w:szCs w:val="28"/>
          <w:lang w:eastAsia="uk-UA"/>
        </w:rPr>
        <w:t xml:space="preserve">в остаточному судовому рішенні у справі суб’єкта права на конституційну скаргу (частина перша статті 55); конституційна </w:t>
      </w:r>
      <w:r w:rsidR="00E07661">
        <w:rPr>
          <w:rFonts w:eastAsia="Times New Roman"/>
          <w:szCs w:val="28"/>
          <w:lang w:eastAsia="uk-UA"/>
        </w:rPr>
        <w:t xml:space="preserve">скарга </w:t>
      </w:r>
      <w:r w:rsidRPr="00A14EE9">
        <w:rPr>
          <w:rFonts w:eastAsia="Times New Roman"/>
          <w:szCs w:val="28"/>
          <w:lang w:eastAsia="uk-UA"/>
        </w:rPr>
        <w:t xml:space="preserve">має містити конкретні положення закону України, які належить перевірити на відповідність Конституції України, та конкретні положення Конституції України, на відповідність яким належить перевірити закон України (пункт 5 частини другої статті 55), а також обґрунтування тверджень щодо неконституційності закону України (його окремих положень) із зазначенням того, яке з гарантованих Конституцією України прав людини, на думку суб’єкта права на конституційну скаргу, зазнало порушення внаслідок застосування закону (пункт 6 </w:t>
      </w:r>
      <w:r w:rsidR="00E07661">
        <w:rPr>
          <w:rFonts w:eastAsia="Times New Roman"/>
          <w:szCs w:val="28"/>
          <w:lang w:eastAsia="uk-UA"/>
        </w:rPr>
        <w:br/>
      </w:r>
      <w:r w:rsidRPr="00A14EE9">
        <w:rPr>
          <w:rFonts w:eastAsia="Times New Roman"/>
          <w:szCs w:val="28"/>
          <w:lang w:eastAsia="uk-UA"/>
        </w:rPr>
        <w:t xml:space="preserve">частини другої статті 55); конституційна скарга є прийнятною за умов її відповідності вимогам, передбаченим, зокрема, статтею 55 цього закону </w:t>
      </w:r>
      <w:r w:rsidR="00E07661">
        <w:rPr>
          <w:rFonts w:eastAsia="Times New Roman"/>
          <w:szCs w:val="28"/>
          <w:lang w:eastAsia="uk-UA"/>
        </w:rPr>
        <w:br/>
      </w:r>
      <w:r w:rsidRPr="00A14EE9">
        <w:rPr>
          <w:rFonts w:eastAsia="Times New Roman"/>
          <w:szCs w:val="28"/>
          <w:lang w:eastAsia="uk-UA"/>
        </w:rPr>
        <w:t>(абзац пе</w:t>
      </w:r>
      <w:r w:rsidR="00A14EE9">
        <w:rPr>
          <w:rFonts w:eastAsia="Times New Roman"/>
          <w:szCs w:val="28"/>
          <w:lang w:eastAsia="uk-UA"/>
        </w:rPr>
        <w:t>рший частини першої статті 77).</w:t>
      </w:r>
    </w:p>
    <w:p w:rsidR="00483AEA" w:rsidRPr="00A14EE9" w:rsidRDefault="00483AEA" w:rsidP="00A14EE9">
      <w:pPr>
        <w:spacing w:line="360" w:lineRule="auto"/>
        <w:ind w:firstLine="567"/>
        <w:jc w:val="both"/>
        <w:rPr>
          <w:rFonts w:eastAsia="Calibri"/>
          <w:szCs w:val="28"/>
        </w:rPr>
      </w:pPr>
    </w:p>
    <w:p w:rsidR="00483AEA" w:rsidRPr="00A14EE9" w:rsidRDefault="00483AEA" w:rsidP="00A14EE9">
      <w:pPr>
        <w:spacing w:line="360" w:lineRule="auto"/>
        <w:ind w:firstLine="567"/>
        <w:jc w:val="both"/>
        <w:rPr>
          <w:szCs w:val="28"/>
        </w:rPr>
      </w:pPr>
      <w:r w:rsidRPr="00A14EE9">
        <w:rPr>
          <w:szCs w:val="28"/>
        </w:rPr>
        <w:t xml:space="preserve">3.1. Аналіз конституційної скарги дає підстави для висновку, що </w:t>
      </w:r>
      <w:r w:rsidRPr="00A14EE9">
        <w:rPr>
          <w:szCs w:val="28"/>
        </w:rPr>
        <w:br/>
      </w:r>
      <w:proofErr w:type="spellStart"/>
      <w:r w:rsidRPr="00A14EE9">
        <w:rPr>
          <w:szCs w:val="28"/>
        </w:rPr>
        <w:t>Хабібуллін</w:t>
      </w:r>
      <w:proofErr w:type="spellEnd"/>
      <w:r w:rsidRPr="00A14EE9">
        <w:rPr>
          <w:szCs w:val="28"/>
        </w:rPr>
        <w:t xml:space="preserve"> В.М. просить перевірити частину першу статті 308 Кодексу на відповідність статтям 3, 5, 8, 9, 24, 55, 64 Конституції України, проте наводить зміст зазначених положень Основного Закону України частково. Вказане свідчить про те, що автор клопотання не визначив конкретних положень Конституції України, на відповідність яким просить перевірити оспорювані </w:t>
      </w:r>
      <w:r w:rsidRPr="00A14EE9">
        <w:rPr>
          <w:szCs w:val="28"/>
        </w:rPr>
        <w:lastRenderedPageBreak/>
        <w:t>положення Кодексу, чим не дотримав вимог пункту 5 частини другої статті 55 Закону України „Про Конституційний Суд України“.</w:t>
      </w:r>
    </w:p>
    <w:p w:rsidR="00483AEA" w:rsidRPr="00A14EE9" w:rsidRDefault="00483AEA" w:rsidP="00A14EE9">
      <w:pPr>
        <w:spacing w:line="360" w:lineRule="auto"/>
        <w:ind w:firstLine="567"/>
        <w:jc w:val="both"/>
        <w:rPr>
          <w:szCs w:val="28"/>
        </w:rPr>
      </w:pPr>
    </w:p>
    <w:p w:rsidR="00483AEA" w:rsidRPr="00A14EE9" w:rsidRDefault="00483AEA" w:rsidP="00A14EE9">
      <w:pPr>
        <w:spacing w:line="360" w:lineRule="auto"/>
        <w:ind w:firstLine="567"/>
        <w:jc w:val="both"/>
        <w:rPr>
          <w:szCs w:val="28"/>
        </w:rPr>
      </w:pPr>
      <w:r w:rsidRPr="00A14EE9">
        <w:rPr>
          <w:szCs w:val="28"/>
        </w:rPr>
        <w:t xml:space="preserve">3.2. Зі змісту конституційної скарги вбачається, що, стверджуючи про невідповідність частини першої статті 308 Кодексу Конституції України, </w:t>
      </w:r>
      <w:proofErr w:type="spellStart"/>
      <w:r w:rsidRPr="00A14EE9">
        <w:rPr>
          <w:szCs w:val="28"/>
        </w:rPr>
        <w:t>Хабібуллін</w:t>
      </w:r>
      <w:proofErr w:type="spellEnd"/>
      <w:r w:rsidRPr="00A14EE9">
        <w:rPr>
          <w:szCs w:val="28"/>
        </w:rPr>
        <w:t xml:space="preserve"> В.М. фактично висловлює незгоду із законодавчим регулюванням порядку оскарження недотримання розумних строків досудового розслідування, пропонує власне бачення щодо кола осіб, які повинні бути наділені правом оскаржувати недотримання розумних строків під час досудового розслідування. Проте незгода із законодавчим регулюванням не є підставою для визнання оспорюваних положень Кодексу неконституційним</w:t>
      </w:r>
      <w:r w:rsidR="00E07661">
        <w:rPr>
          <w:szCs w:val="28"/>
        </w:rPr>
        <w:t>и</w:t>
      </w:r>
      <w:r w:rsidRPr="00A14EE9">
        <w:rPr>
          <w:szCs w:val="28"/>
        </w:rPr>
        <w:t>, а відсутність належної аргументації свідчить про невиконання вимог пункту 6 частини другої статті 55 Закону України „Про Конституційний Суд України“.</w:t>
      </w:r>
    </w:p>
    <w:p w:rsidR="00483AEA" w:rsidRPr="00A14EE9" w:rsidRDefault="00483AEA" w:rsidP="00A14EE9">
      <w:pPr>
        <w:spacing w:line="360" w:lineRule="auto"/>
        <w:ind w:firstLine="567"/>
        <w:jc w:val="both"/>
        <w:rPr>
          <w:rFonts w:eastAsia="Times New Roman"/>
          <w:szCs w:val="28"/>
          <w:lang w:eastAsia="uk-UA"/>
        </w:rPr>
      </w:pPr>
      <w:r w:rsidRPr="00A14EE9">
        <w:rPr>
          <w:szCs w:val="28"/>
        </w:rPr>
        <w:t xml:space="preserve">Отже, суб’єкт права на конституційну скаргу не дотримав вимог </w:t>
      </w:r>
      <w:r w:rsidRPr="00A14EE9">
        <w:rPr>
          <w:szCs w:val="28"/>
        </w:rPr>
        <w:br/>
        <w:t>пунктів 5, 6 частини другої статті 55 Закону України „Про Конституційний Суд України“, що є підставою для відмови у відкритті конституційного провадження у справі згідно з пунктом 4 статті 62 цього закону – неприйнятність конституційної скарги.</w:t>
      </w:r>
    </w:p>
    <w:p w:rsidR="00483AEA" w:rsidRPr="00A14EE9" w:rsidRDefault="00483AEA" w:rsidP="00A14EE9">
      <w:pPr>
        <w:spacing w:line="360" w:lineRule="auto"/>
        <w:ind w:firstLine="567"/>
        <w:jc w:val="both"/>
        <w:rPr>
          <w:rFonts w:eastAsia="Times New Roman"/>
          <w:szCs w:val="28"/>
          <w:lang w:eastAsia="uk-UA"/>
        </w:rPr>
      </w:pPr>
    </w:p>
    <w:p w:rsidR="00483AEA" w:rsidRPr="00A14EE9" w:rsidRDefault="00483AEA" w:rsidP="00A14EE9">
      <w:pPr>
        <w:spacing w:line="360" w:lineRule="auto"/>
        <w:ind w:firstLine="567"/>
        <w:jc w:val="both"/>
        <w:rPr>
          <w:rFonts w:eastAsia="Times New Roman"/>
          <w:szCs w:val="28"/>
          <w:lang w:eastAsia="uk-UA"/>
        </w:rPr>
      </w:pPr>
      <w:r w:rsidRPr="00A14EE9">
        <w:rPr>
          <w:rFonts w:eastAsia="Times New Roman"/>
          <w:szCs w:val="28"/>
          <w:lang w:eastAsia="uk-UA"/>
        </w:rPr>
        <w:t>Ураховуючи викладене та керуючись статтями 147, 151</w:t>
      </w:r>
      <w:r w:rsidRPr="00A14EE9">
        <w:rPr>
          <w:rFonts w:eastAsia="Times New Roman"/>
          <w:szCs w:val="28"/>
          <w:vertAlign w:val="superscript"/>
          <w:lang w:eastAsia="uk-UA"/>
        </w:rPr>
        <w:t>1</w:t>
      </w:r>
      <w:r w:rsidRPr="00A14EE9">
        <w:rPr>
          <w:rFonts w:eastAsia="Times New Roman"/>
          <w:szCs w:val="28"/>
          <w:lang w:eastAsia="uk-UA"/>
        </w:rPr>
        <w:t>, 153 Конституції України, на підставі статей 7, 32, 37, 50, 55, 56, 58, 62, 77, 83, 86 Закону України „Про Конституційний Суд України“, відповідно до § 45, § 56 Регламенту Конституційного Суду України Друга колегія суддів Першого сенату Конституційного Суду України</w:t>
      </w:r>
    </w:p>
    <w:p w:rsidR="00483AEA" w:rsidRPr="00A14EE9" w:rsidRDefault="00483AEA" w:rsidP="00A14EE9">
      <w:pPr>
        <w:spacing w:line="360" w:lineRule="auto"/>
        <w:ind w:firstLine="567"/>
        <w:jc w:val="both"/>
        <w:rPr>
          <w:rFonts w:eastAsia="Times New Roman"/>
          <w:b/>
          <w:szCs w:val="28"/>
          <w:lang w:eastAsia="uk-UA"/>
        </w:rPr>
      </w:pPr>
    </w:p>
    <w:p w:rsidR="00483AEA" w:rsidRPr="00A14EE9" w:rsidRDefault="00483AEA" w:rsidP="00A14EE9">
      <w:pPr>
        <w:spacing w:line="360" w:lineRule="auto"/>
        <w:jc w:val="center"/>
        <w:rPr>
          <w:rFonts w:eastAsia="Times New Roman"/>
          <w:b/>
          <w:szCs w:val="28"/>
          <w:lang w:eastAsia="uk-UA"/>
        </w:rPr>
      </w:pPr>
      <w:r w:rsidRPr="00A14EE9">
        <w:rPr>
          <w:rFonts w:eastAsia="Times New Roman"/>
          <w:b/>
          <w:szCs w:val="28"/>
          <w:lang w:eastAsia="uk-UA"/>
        </w:rPr>
        <w:t>п о с т а н о в и л а:</w:t>
      </w:r>
    </w:p>
    <w:p w:rsidR="00483AEA" w:rsidRPr="00A14EE9" w:rsidRDefault="00483AEA" w:rsidP="00A14EE9">
      <w:pPr>
        <w:spacing w:line="360" w:lineRule="auto"/>
        <w:ind w:firstLine="567"/>
        <w:jc w:val="both"/>
        <w:rPr>
          <w:rFonts w:eastAsia="Times New Roman"/>
          <w:b/>
          <w:szCs w:val="28"/>
          <w:lang w:eastAsia="uk-UA"/>
        </w:rPr>
      </w:pPr>
    </w:p>
    <w:p w:rsidR="00483AEA" w:rsidRPr="00A14EE9" w:rsidRDefault="00483AEA" w:rsidP="00A14EE9">
      <w:pPr>
        <w:spacing w:line="360" w:lineRule="auto"/>
        <w:ind w:firstLine="567"/>
        <w:jc w:val="both"/>
        <w:rPr>
          <w:rFonts w:eastAsia="Times New Roman"/>
          <w:b/>
          <w:szCs w:val="28"/>
          <w:lang w:eastAsia="uk-UA"/>
        </w:rPr>
      </w:pPr>
      <w:r w:rsidRPr="00A14EE9">
        <w:rPr>
          <w:rFonts w:eastAsia="Times New Roman"/>
          <w:szCs w:val="28"/>
          <w:lang w:eastAsia="uk-UA"/>
        </w:rPr>
        <w:t>1.</w:t>
      </w:r>
      <w:r w:rsidRPr="00A14EE9">
        <w:rPr>
          <w:rFonts w:eastAsia="Times New Roman"/>
          <w:b/>
          <w:szCs w:val="28"/>
          <w:lang w:eastAsia="uk-UA"/>
        </w:rPr>
        <w:t xml:space="preserve"> </w:t>
      </w:r>
      <w:r w:rsidRPr="00A14EE9">
        <w:rPr>
          <w:szCs w:val="28"/>
        </w:rPr>
        <w:t xml:space="preserve">Відмовити у відкритті конституційного провадження у справі </w:t>
      </w:r>
      <w:r w:rsidRPr="00A14EE9">
        <w:rPr>
          <w:szCs w:val="28"/>
        </w:rPr>
        <w:br/>
        <w:t xml:space="preserve">за конституційною скаргою </w:t>
      </w:r>
      <w:proofErr w:type="spellStart"/>
      <w:r w:rsidRPr="00A14EE9">
        <w:rPr>
          <w:szCs w:val="28"/>
        </w:rPr>
        <w:t>Хабібулліна</w:t>
      </w:r>
      <w:proofErr w:type="spellEnd"/>
      <w:r w:rsidRPr="00A14EE9">
        <w:rPr>
          <w:szCs w:val="28"/>
        </w:rPr>
        <w:t xml:space="preserve"> Вадима </w:t>
      </w:r>
      <w:proofErr w:type="spellStart"/>
      <w:r w:rsidRPr="00A14EE9">
        <w:rPr>
          <w:szCs w:val="28"/>
        </w:rPr>
        <w:t>Монев’яровича</w:t>
      </w:r>
      <w:proofErr w:type="spellEnd"/>
      <w:r w:rsidRPr="00A14EE9">
        <w:rPr>
          <w:szCs w:val="28"/>
        </w:rPr>
        <w:t xml:space="preserve"> щодо відповідності Конституції України (конституційності) частини першої статті 308 </w:t>
      </w:r>
      <w:r w:rsidRPr="00A14EE9">
        <w:rPr>
          <w:szCs w:val="28"/>
        </w:rPr>
        <w:lastRenderedPageBreak/>
        <w:t xml:space="preserve">Кримінального процесуального кодексу України на підставі пункту 4 статті 62 Закону України „Про Конституційний Суд України“ – неприйнятність </w:t>
      </w:r>
      <w:r w:rsidRPr="00A14EE9">
        <w:rPr>
          <w:szCs w:val="28"/>
        </w:rPr>
        <w:br/>
        <w:t>конституційної скарги.</w:t>
      </w:r>
    </w:p>
    <w:p w:rsidR="00483AEA" w:rsidRPr="00A14EE9" w:rsidRDefault="00483AEA" w:rsidP="00A14EE9">
      <w:pPr>
        <w:spacing w:line="360" w:lineRule="auto"/>
        <w:ind w:firstLine="567"/>
        <w:jc w:val="both"/>
        <w:rPr>
          <w:rFonts w:eastAsia="Times New Roman"/>
          <w:szCs w:val="28"/>
          <w:lang w:eastAsia="uk-UA"/>
        </w:rPr>
      </w:pPr>
    </w:p>
    <w:p w:rsidR="00483AEA" w:rsidRDefault="00483AEA" w:rsidP="00A14EE9">
      <w:pPr>
        <w:spacing w:line="360" w:lineRule="auto"/>
        <w:ind w:firstLine="567"/>
        <w:jc w:val="both"/>
        <w:rPr>
          <w:szCs w:val="28"/>
        </w:rPr>
      </w:pPr>
      <w:r w:rsidRPr="00A14EE9">
        <w:rPr>
          <w:szCs w:val="28"/>
        </w:rPr>
        <w:t>2. Ухвала є остаточною.</w:t>
      </w:r>
    </w:p>
    <w:p w:rsidR="00961E53" w:rsidRDefault="00961E53" w:rsidP="00A14EE9">
      <w:pPr>
        <w:spacing w:line="360" w:lineRule="auto"/>
        <w:ind w:firstLine="567"/>
        <w:jc w:val="both"/>
        <w:rPr>
          <w:szCs w:val="28"/>
        </w:rPr>
      </w:pPr>
    </w:p>
    <w:p w:rsidR="00961E53" w:rsidRDefault="00961E53" w:rsidP="00A14EE9">
      <w:pPr>
        <w:spacing w:line="360" w:lineRule="auto"/>
        <w:ind w:firstLine="567"/>
        <w:jc w:val="both"/>
        <w:rPr>
          <w:szCs w:val="28"/>
        </w:rPr>
      </w:pPr>
    </w:p>
    <w:p w:rsidR="00961E53" w:rsidRDefault="00961E53" w:rsidP="00A14EE9">
      <w:pPr>
        <w:spacing w:line="360" w:lineRule="auto"/>
        <w:ind w:firstLine="567"/>
        <w:jc w:val="both"/>
        <w:rPr>
          <w:szCs w:val="28"/>
        </w:rPr>
      </w:pPr>
    </w:p>
    <w:p w:rsidR="00961E53" w:rsidRPr="004C3678" w:rsidRDefault="00961E53" w:rsidP="00961E53">
      <w:pPr>
        <w:ind w:left="3969"/>
        <w:jc w:val="center"/>
        <w:rPr>
          <w:b/>
          <w:szCs w:val="28"/>
        </w:rPr>
      </w:pPr>
      <w:r w:rsidRPr="004C3678">
        <w:rPr>
          <w:b/>
          <w:szCs w:val="28"/>
        </w:rPr>
        <w:t>ДРУГА КОЛЕГІЯ СУДДІВ</w:t>
      </w:r>
    </w:p>
    <w:p w:rsidR="00961E53" w:rsidRPr="004C3678" w:rsidRDefault="00961E53" w:rsidP="00961E53">
      <w:pPr>
        <w:ind w:left="3969"/>
        <w:jc w:val="center"/>
        <w:rPr>
          <w:b/>
          <w:szCs w:val="28"/>
        </w:rPr>
      </w:pPr>
      <w:r w:rsidRPr="004C3678">
        <w:rPr>
          <w:b/>
          <w:szCs w:val="28"/>
        </w:rPr>
        <w:t>ПЕРШОГО СЕНАТУ</w:t>
      </w:r>
    </w:p>
    <w:p w:rsidR="00961E53" w:rsidRPr="004C3678" w:rsidRDefault="00961E53" w:rsidP="00961E53">
      <w:pPr>
        <w:ind w:left="3969"/>
        <w:jc w:val="center"/>
        <w:rPr>
          <w:b/>
          <w:szCs w:val="28"/>
        </w:rPr>
      </w:pPr>
      <w:r w:rsidRPr="004C3678">
        <w:rPr>
          <w:b/>
          <w:szCs w:val="28"/>
        </w:rPr>
        <w:t>КОНСТИТУЦІЙНОГО СУДУ УКРАЇНИ</w:t>
      </w:r>
    </w:p>
    <w:p w:rsidR="00961E53" w:rsidRPr="00A14EE9" w:rsidRDefault="00961E53" w:rsidP="00A14EE9">
      <w:pPr>
        <w:spacing w:line="360" w:lineRule="auto"/>
        <w:ind w:firstLine="567"/>
        <w:jc w:val="both"/>
        <w:rPr>
          <w:rFonts w:eastAsia="Calibri"/>
          <w:szCs w:val="28"/>
        </w:rPr>
      </w:pPr>
      <w:bookmarkStart w:id="0" w:name="_GoBack"/>
      <w:bookmarkEnd w:id="0"/>
    </w:p>
    <w:sectPr w:rsidR="00961E53" w:rsidRPr="00A14EE9" w:rsidSect="00A14EE9">
      <w:headerReference w:type="default" r:id="rId6"/>
      <w:footerReference w:type="default" r:id="rId7"/>
      <w:footerReference w:type="first" r:id="rId8"/>
      <w:pgSz w:w="11906" w:h="16838" w:code="9"/>
      <w:pgMar w:top="1134" w:right="567" w:bottom="1134"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4EE9" w:rsidRDefault="00A14EE9" w:rsidP="00A14EE9">
      <w:r>
        <w:separator/>
      </w:r>
    </w:p>
  </w:endnote>
  <w:endnote w:type="continuationSeparator" w:id="0">
    <w:p w:rsidR="00A14EE9" w:rsidRDefault="00A14EE9" w:rsidP="00A14E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EE9" w:rsidRPr="00A14EE9" w:rsidRDefault="00A14EE9">
    <w:pPr>
      <w:pStyle w:val="a8"/>
      <w:rPr>
        <w:sz w:val="10"/>
        <w:szCs w:val="10"/>
      </w:rPr>
    </w:pPr>
    <w:r w:rsidRPr="00A14EE9">
      <w:rPr>
        <w:sz w:val="10"/>
        <w:szCs w:val="10"/>
      </w:rPr>
      <w:fldChar w:fldCharType="begin"/>
    </w:r>
    <w:r w:rsidRPr="00A14EE9">
      <w:rPr>
        <w:sz w:val="10"/>
        <w:szCs w:val="10"/>
      </w:rPr>
      <w:instrText xml:space="preserve"> FILENAME \p \* MERGEFORMAT </w:instrText>
    </w:r>
    <w:r w:rsidRPr="00A14EE9">
      <w:rPr>
        <w:sz w:val="10"/>
        <w:szCs w:val="10"/>
      </w:rPr>
      <w:fldChar w:fldCharType="separate"/>
    </w:r>
    <w:r w:rsidR="00E07661">
      <w:rPr>
        <w:noProof/>
        <w:sz w:val="10"/>
        <w:szCs w:val="10"/>
      </w:rPr>
      <w:t>G:\2025\Suddi\I senat\II koleg\11.docx</w:t>
    </w:r>
    <w:r w:rsidRPr="00A14EE9">
      <w:rPr>
        <w:sz w:val="10"/>
        <w:szCs w:val="1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EE9" w:rsidRPr="00A14EE9" w:rsidRDefault="00A14EE9">
    <w:pPr>
      <w:pStyle w:val="a8"/>
      <w:rPr>
        <w:sz w:val="10"/>
        <w:szCs w:val="10"/>
      </w:rPr>
    </w:pPr>
    <w:r w:rsidRPr="00A14EE9">
      <w:rPr>
        <w:sz w:val="10"/>
        <w:szCs w:val="10"/>
      </w:rPr>
      <w:fldChar w:fldCharType="begin"/>
    </w:r>
    <w:r w:rsidRPr="00A14EE9">
      <w:rPr>
        <w:sz w:val="10"/>
        <w:szCs w:val="10"/>
      </w:rPr>
      <w:instrText xml:space="preserve"> FILENAME \p \* MERGEFORMAT </w:instrText>
    </w:r>
    <w:r w:rsidRPr="00A14EE9">
      <w:rPr>
        <w:sz w:val="10"/>
        <w:szCs w:val="10"/>
      </w:rPr>
      <w:fldChar w:fldCharType="separate"/>
    </w:r>
    <w:r w:rsidR="00E07661">
      <w:rPr>
        <w:noProof/>
        <w:sz w:val="10"/>
        <w:szCs w:val="10"/>
      </w:rPr>
      <w:t>G:\2025\Suddi\I senat\II koleg\11.docx</w:t>
    </w:r>
    <w:r w:rsidRPr="00A14EE9">
      <w:rPr>
        <w:sz w:val="10"/>
        <w:szCs w:val="1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4EE9" w:rsidRDefault="00A14EE9" w:rsidP="00A14EE9">
      <w:r>
        <w:separator/>
      </w:r>
    </w:p>
  </w:footnote>
  <w:footnote w:type="continuationSeparator" w:id="0">
    <w:p w:rsidR="00A14EE9" w:rsidRDefault="00A14EE9" w:rsidP="00A14E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1655262"/>
      <w:docPartObj>
        <w:docPartGallery w:val="Page Numbers (Top of Page)"/>
        <w:docPartUnique/>
      </w:docPartObj>
    </w:sdtPr>
    <w:sdtEndPr/>
    <w:sdtContent>
      <w:p w:rsidR="00A14EE9" w:rsidRDefault="00A14EE9" w:rsidP="00F6763D">
        <w:pPr>
          <w:pStyle w:val="a6"/>
          <w:jc w:val="center"/>
        </w:pPr>
        <w:r>
          <w:fldChar w:fldCharType="begin"/>
        </w:r>
        <w:r>
          <w:instrText>PAGE   \* MERGEFORMAT</w:instrText>
        </w:r>
        <w:r>
          <w:fldChar w:fldCharType="separate"/>
        </w:r>
        <w:r w:rsidR="00961E53">
          <w:rPr>
            <w:noProof/>
          </w:rPr>
          <w:t>5</w:t>
        </w:r>
        <w: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3AEA"/>
    <w:rsid w:val="00203782"/>
    <w:rsid w:val="002D3CA9"/>
    <w:rsid w:val="00483AEA"/>
    <w:rsid w:val="00596FCE"/>
    <w:rsid w:val="006230AD"/>
    <w:rsid w:val="00961E53"/>
    <w:rsid w:val="00A14EE9"/>
    <w:rsid w:val="00AB267C"/>
    <w:rsid w:val="00E07661"/>
    <w:rsid w:val="00EF2816"/>
    <w:rsid w:val="00F6763D"/>
    <w:rsid w:val="00F9406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74BDD7"/>
  <w15:chartTrackingRefBased/>
  <w15:docId w15:val="{F72C4020-AF5C-4FF8-AC91-3935519F2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2"/>
        <w:lang w:val="uk-U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483AEA"/>
    <w:pPr>
      <w:suppressAutoHyphens/>
      <w:spacing w:after="140" w:line="276" w:lineRule="auto"/>
    </w:pPr>
    <w:rPr>
      <w:rFonts w:ascii="Calibri" w:eastAsia="Calibri" w:hAnsi="Calibri" w:cstheme="minorBidi"/>
      <w:sz w:val="22"/>
    </w:rPr>
  </w:style>
  <w:style w:type="character" w:customStyle="1" w:styleId="a4">
    <w:name w:val="Основний текст Знак"/>
    <w:basedOn w:val="a0"/>
    <w:link w:val="a3"/>
    <w:semiHidden/>
    <w:rsid w:val="00483AEA"/>
    <w:rPr>
      <w:rFonts w:ascii="Calibri" w:eastAsia="Calibri" w:hAnsi="Calibri" w:cstheme="minorBidi"/>
      <w:sz w:val="22"/>
    </w:rPr>
  </w:style>
  <w:style w:type="table" w:styleId="a5">
    <w:name w:val="Table Grid"/>
    <w:basedOn w:val="a1"/>
    <w:uiPriority w:val="39"/>
    <w:rsid w:val="00A14EE9"/>
    <w:rPr>
      <w:rFonts w:asciiTheme="minorHAnsi" w:hAnsiTheme="minorHAnsi" w:cstheme="minorBidi"/>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A14EE9"/>
    <w:pPr>
      <w:tabs>
        <w:tab w:val="center" w:pos="4819"/>
        <w:tab w:val="right" w:pos="9639"/>
      </w:tabs>
    </w:pPr>
  </w:style>
  <w:style w:type="character" w:customStyle="1" w:styleId="a7">
    <w:name w:val="Верхній колонтитул Знак"/>
    <w:basedOn w:val="a0"/>
    <w:link w:val="a6"/>
    <w:uiPriority w:val="99"/>
    <w:rsid w:val="00A14EE9"/>
  </w:style>
  <w:style w:type="paragraph" w:styleId="a8">
    <w:name w:val="footer"/>
    <w:basedOn w:val="a"/>
    <w:link w:val="a9"/>
    <w:uiPriority w:val="99"/>
    <w:unhideWhenUsed/>
    <w:rsid w:val="00A14EE9"/>
    <w:pPr>
      <w:tabs>
        <w:tab w:val="center" w:pos="4819"/>
        <w:tab w:val="right" w:pos="9639"/>
      </w:tabs>
    </w:pPr>
  </w:style>
  <w:style w:type="character" w:customStyle="1" w:styleId="a9">
    <w:name w:val="Нижній колонтитул Знак"/>
    <w:basedOn w:val="a0"/>
    <w:link w:val="a8"/>
    <w:uiPriority w:val="99"/>
    <w:rsid w:val="00A14E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9464209">
      <w:bodyDiv w:val="1"/>
      <w:marLeft w:val="0"/>
      <w:marRight w:val="0"/>
      <w:marTop w:val="0"/>
      <w:marBottom w:val="0"/>
      <w:divBdr>
        <w:top w:val="none" w:sz="0" w:space="0" w:color="auto"/>
        <w:left w:val="none" w:sz="0" w:space="0" w:color="auto"/>
        <w:bottom w:val="none" w:sz="0" w:space="0" w:color="auto"/>
        <w:right w:val="none" w:sz="0" w:space="0" w:color="auto"/>
      </w:divBdr>
    </w:div>
    <w:div w:id="2105417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5</Pages>
  <Words>4496</Words>
  <Characters>2564</Characters>
  <Application>Microsoft Office Word</Application>
  <DocSecurity>0</DocSecurity>
  <Lines>21</Lines>
  <Paragraphs>14</Paragraphs>
  <ScaleCrop>false</ScaleCrop>
  <HeadingPairs>
    <vt:vector size="2" baseType="variant">
      <vt:variant>
        <vt:lpstr>Назва</vt:lpstr>
      </vt:variant>
      <vt:variant>
        <vt:i4>1</vt:i4>
      </vt:variant>
    </vt:vector>
  </HeadingPairs>
  <TitlesOfParts>
    <vt:vector size="1" baseType="lpstr">
      <vt:lpstr/>
    </vt:vector>
  </TitlesOfParts>
  <Company>Microsoft</Company>
  <LinksUpToDate>false</LinksUpToDate>
  <CharactersWithSpaces>7046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Валентина М. Поліщук</dc:creator>
  <cp:keywords/>
  <dc:description/>
  <cp:lastModifiedBy>Олена Б. Алєксєйченко</cp:lastModifiedBy>
  <cp:revision>6</cp:revision>
  <cp:lastPrinted>2025-07-23T13:42:00Z</cp:lastPrinted>
  <dcterms:created xsi:type="dcterms:W3CDTF">2025-07-22T10:51:00Z</dcterms:created>
  <dcterms:modified xsi:type="dcterms:W3CDTF">2025-07-25T06:57:00Z</dcterms:modified>
</cp:coreProperties>
</file>