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627" w:rsidRPr="00C24B10" w:rsidRDefault="002F6EB7" w:rsidP="002F6EB7">
      <w:pPr>
        <w:ind w:right="50"/>
        <w:jc w:val="both"/>
        <w:rPr>
          <w:noProof/>
          <w:sz w:val="28"/>
          <w:szCs w:val="28"/>
          <w:lang w:val="en-GB"/>
        </w:rPr>
      </w:pPr>
      <w:bookmarkStart w:id="0" w:name="_GoBack"/>
      <w:bookmarkEnd w:id="0"/>
      <w:r w:rsidRPr="00C24B10">
        <w:rPr>
          <w:b/>
          <w:bCs/>
          <w:noProof/>
          <w:sz w:val="28"/>
          <w:szCs w:val="28"/>
          <w:lang w:val="en-GB"/>
        </w:rPr>
        <w:t xml:space="preserve">Summary </w:t>
      </w:r>
      <w:r w:rsidR="00B63A2A" w:rsidRPr="00C24B10">
        <w:rPr>
          <w:b/>
          <w:bCs/>
          <w:noProof/>
          <w:sz w:val="28"/>
          <w:szCs w:val="28"/>
          <w:lang w:val="en-GB"/>
        </w:rPr>
        <w:t>to</w:t>
      </w:r>
      <w:r w:rsidRPr="00C24B10">
        <w:rPr>
          <w:b/>
          <w:bCs/>
          <w:noProof/>
          <w:sz w:val="28"/>
          <w:szCs w:val="28"/>
          <w:lang w:val="en-GB"/>
        </w:rPr>
        <w:t xml:space="preserve"> Decision of the Second Senate of the Constitutional Court of Ukraine No. 8-r(II)/2026 dated 21 July 2026 in the case upon the constitutional complaint of Serhii Hudyrenko concerning the conformity of Articles 307.3, 309.1 and 309.2 of the Code of Criminal Procedure of Ukraine with the Constitution of Ukraine (constitutionality) (regarding guarantees of appellate review for the protection of property rights at the stage of pre-trial investigation)</w:t>
      </w:r>
    </w:p>
    <w:p w:rsidR="00EA56D2" w:rsidRPr="00C24B10" w:rsidRDefault="00EA56D2" w:rsidP="00526CAF">
      <w:pPr>
        <w:pStyle w:val="HTML"/>
        <w:ind w:firstLine="851"/>
        <w:jc w:val="both"/>
        <w:rPr>
          <w:rFonts w:ascii="Times New Roman" w:hAnsi="Times New Roman" w:cs="Times New Roman"/>
          <w:noProof/>
          <w:sz w:val="28"/>
          <w:szCs w:val="28"/>
          <w:lang w:val="en-GB"/>
        </w:rPr>
      </w:pP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 xml:space="preserve">Serhii Hudyrenko </w:t>
      </w:r>
      <w:r w:rsidR="00D01F6D" w:rsidRPr="00C24B10">
        <w:rPr>
          <w:rFonts w:ascii="Times New Roman" w:hAnsi="Times New Roman" w:cs="Times New Roman"/>
          <w:noProof/>
          <w:sz w:val="28"/>
          <w:szCs w:val="28"/>
          <w:lang w:val="en-GB"/>
        </w:rPr>
        <w:t xml:space="preserve">lodged a constitutional complaint with the Constitutional Court </w:t>
      </w:r>
      <w:r w:rsidRPr="00C24B10">
        <w:rPr>
          <w:rFonts w:ascii="Times New Roman" w:hAnsi="Times New Roman" w:cs="Times New Roman"/>
          <w:noProof/>
          <w:sz w:val="28"/>
          <w:szCs w:val="28"/>
          <w:lang w:val="en-GB"/>
        </w:rPr>
        <w:t xml:space="preserve">to </w:t>
      </w:r>
      <w:r w:rsidR="00CE6C23">
        <w:rPr>
          <w:rFonts w:ascii="Times New Roman" w:hAnsi="Times New Roman" w:cs="Times New Roman"/>
          <w:noProof/>
          <w:sz w:val="28"/>
          <w:szCs w:val="28"/>
          <w:lang w:val="en-GB"/>
        </w:rPr>
        <w:t>verify</w:t>
      </w:r>
      <w:r w:rsidRPr="00C24B10">
        <w:rPr>
          <w:rFonts w:ascii="Times New Roman" w:hAnsi="Times New Roman" w:cs="Times New Roman"/>
          <w:noProof/>
          <w:sz w:val="28"/>
          <w:szCs w:val="28"/>
          <w:lang w:val="en-GB"/>
        </w:rPr>
        <w:t xml:space="preserve"> the conformity of Articles 307.3, 309.1 and 309.2 of the Code of Criminal Procedure (hereinafter, the “Code”) with the Constitution of Ukraine (constitutionality).</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The challenged provisions of the Code provide:</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Article 307.3 of the Code – the impossibility of appealing against a ruling of an investigating judge following consideration of a complaint against a decision, action or inactivity of an investigator, inquirer or prosecutor, except for certain types of rulings;</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Article 309.1 of the Code – the main list of rulings of an investigating judge which may be appealed against in the appellate procedure during the pre-trial investigation;</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Article 309.2 of the Code – an additional list of rulings which may be appealed against in the appellate procedure.</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Having regard to the powers granted to an investigating judge to exercise judicial control over the observance of the rights, freedoms and interests of persons in criminal proceedings at the pre-trial investigation stage, the Constitutional Court notes that consideration by an investigating judge of complaints against the inactivity of an investigator or prosecutor consisting in the failure to return temporarily seized property seized during a search in accordance with the requirements of the Code is aimed at protecting the rights of the person whose property was seized during the search and not returned.</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The Constitutional Court states that a person whose property has been temporarily seized, in respect of which there is no ruling of an investigating judge on the seizure of property, has the right to submit to an investigating judge a complaint against a decision, action or inactivity of an investigator or prosecutor consisting in the failure to return temporarily seized property in accordance with Article 169 of the Code and, in the event that the investigating judge issues a ruling refusing to satisfy such complaint, has the right to submit objections against this ruling of the investigating judge during the preparatory proceedings before the court.</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 xml:space="preserve">The possibility for a person to exercise the right to submit objections against a ruling of an investigating judge refusing to satisfy a complaint against the inactivity of an investigator or prosecutor consisting in the failure to return temporarily seized property in accordance with Article 169 of the Code depends on the fact of completion of the pre-trial investigation and does not depend on the decisions and actions of that person, since, according to the provisions of the Code, a person whose property has </w:t>
      </w:r>
      <w:r w:rsidRPr="00C24B10">
        <w:rPr>
          <w:rFonts w:ascii="Times New Roman" w:hAnsi="Times New Roman" w:cs="Times New Roman"/>
          <w:noProof/>
          <w:sz w:val="28"/>
          <w:szCs w:val="28"/>
          <w:lang w:val="en-GB"/>
        </w:rPr>
        <w:lastRenderedPageBreak/>
        <w:t>been temporarily seized will be able to submit objections against the ruling of an investigating judge only after the completion of the pre-trial investigation.</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However, the application of objections against a ruling of an investigating judge as a legal remedy in criminal proceedings, where no person has been notified of suspicion during the pre-trial investigation, before the completion of such investigation is impossible.</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Throughout the entire period of the pre-trial investigation, a person whose property has been temporarily seized on the basis of the provisions of the Code has the right to submit a complaint against the actions of an investigator or prosecutor, but is deprived of the possibility to exercise the right established by Article 309.3 of the Code to submit, during the preparatory proceedings before the court, objections against a ruling of an investigating judge refusing to satisfy a complaint against the inactivity of an investigator or prosecutor consisting in the failure to return temporarily seized property in accordance with Article 169 of the Code.</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The Constitutional Court concluded:</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the components of the mechanism of judicial control over the lawfulness of interference with a person’s rights during the pre-trial investigation, where no person has been notified of suspicion, established by Articles 303.1.1 and 309.3 of the Code, do not ensure effective and efficient protection of constitutional rights guaranteed by the Constitution;</w:t>
      </w:r>
    </w:p>
    <w:p w:rsidR="00526CAF"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there is no legitimate aim of the legislative regulation established by the provisions of Articles 307.3, 309.1 and 309.2 of the Code, which do not establish the right to appeal in the appellate procedure, during the pre-trial investigation where no person has been notified of suspicion, against a ruling of an investigating judge refusing to satisfy a complaint against the inactivity of an investigator or prosecutor consisting in the failure to return temporarily seized property in accordance with Article 169 of the Code.</w:t>
      </w:r>
    </w:p>
    <w:p w:rsidR="00DA3A9C" w:rsidRPr="00C24B10" w:rsidRDefault="00526CAF" w:rsidP="00526CAF">
      <w:pPr>
        <w:pStyle w:val="HTML"/>
        <w:ind w:firstLine="851"/>
        <w:jc w:val="both"/>
        <w:rPr>
          <w:rFonts w:ascii="Times New Roman" w:hAnsi="Times New Roman" w:cs="Times New Roman"/>
          <w:noProof/>
          <w:sz w:val="28"/>
          <w:szCs w:val="28"/>
          <w:lang w:val="en-GB"/>
        </w:rPr>
      </w:pPr>
      <w:r w:rsidRPr="00C24B10">
        <w:rPr>
          <w:rFonts w:ascii="Times New Roman" w:hAnsi="Times New Roman" w:cs="Times New Roman"/>
          <w:noProof/>
          <w:sz w:val="28"/>
          <w:szCs w:val="28"/>
          <w:lang w:val="en-GB"/>
        </w:rPr>
        <w:t>The Constitutional Court states that Articles 307.3, 309.1 and 309.2 of the Code, insofar as they do not establish the right to appeal in the appellate procedure, during the pre-trial investigation where no person has been notified of suspicion, against a ruling of an investigating judge refusing to satisfy a complaint against the inactivity of an investigator or prosecutor consisting in the failure to return to a person the temporarily seized property belonging to that person in accordance with Article 169 of the Code, constitute a legislative omission.</w:t>
      </w:r>
    </w:p>
    <w:p w:rsidR="00EA56D2" w:rsidRPr="00C24B10" w:rsidRDefault="00EA56D2" w:rsidP="00EA56D2">
      <w:pPr>
        <w:ind w:firstLine="851"/>
        <w:jc w:val="both"/>
        <w:rPr>
          <w:noProof/>
          <w:sz w:val="28"/>
          <w:szCs w:val="28"/>
          <w:lang w:val="en-GB"/>
        </w:rPr>
      </w:pPr>
      <w:r w:rsidRPr="00C24B10">
        <w:rPr>
          <w:noProof/>
          <w:sz w:val="28"/>
          <w:szCs w:val="28"/>
          <w:lang w:val="en-GB"/>
        </w:rPr>
        <w:t>Thus, Articles 307.3, 309.1 and 309.2 of the Code of Criminal Procedure of Ukraine were found not to conform to the Constitution of Ukraine (were declared unconstitutional) insofar as they do not establish the right to appeal, during the pre-trial investigation, against a ruling of an investigating judge refusing to satisfy a complaint against the inactivity of an investigator or prosecutor consisting in the failure to return temporarily seized property in accordance with Article 169 of this Code.</w:t>
      </w:r>
    </w:p>
    <w:p w:rsidR="00EA56D2" w:rsidRPr="00526CAF" w:rsidRDefault="00EA56D2" w:rsidP="00EA56D2">
      <w:pPr>
        <w:ind w:firstLine="851"/>
        <w:jc w:val="both"/>
        <w:rPr>
          <w:sz w:val="28"/>
          <w:szCs w:val="28"/>
          <w:lang w:val="en-GB"/>
        </w:rPr>
      </w:pPr>
      <w:r w:rsidRPr="00526CAF">
        <w:rPr>
          <w:sz w:val="28"/>
          <w:szCs w:val="28"/>
          <w:lang w:val="en-GB"/>
        </w:rPr>
        <w:lastRenderedPageBreak/>
        <w:t>Articles 307.3, 309.1 and 309.2 of the Code of Criminal Procedure of Ukraine, declared unconstitutional in the specified aspect, shall lose their force from the date of the delivery of this Decision by the Constitutional Court.</w:t>
      </w:r>
    </w:p>
    <w:p w:rsidR="00EA56D2" w:rsidRPr="00526CAF" w:rsidRDefault="00EA56D2" w:rsidP="00526CAF">
      <w:pPr>
        <w:pStyle w:val="HTML"/>
        <w:ind w:firstLine="851"/>
        <w:jc w:val="both"/>
        <w:rPr>
          <w:rFonts w:ascii="Times New Roman" w:hAnsi="Times New Roman" w:cs="Times New Roman"/>
          <w:sz w:val="28"/>
          <w:szCs w:val="28"/>
          <w:lang w:val="en-GB"/>
        </w:rPr>
      </w:pPr>
    </w:p>
    <w:p w:rsidR="008E7016" w:rsidRPr="008E7016" w:rsidRDefault="008E7016" w:rsidP="008E7016">
      <w:pPr>
        <w:autoSpaceDE/>
        <w:autoSpaceDN/>
        <w:adjustRightInd/>
        <w:spacing w:before="100" w:beforeAutospacing="1" w:after="100" w:afterAutospacing="1"/>
        <w:rPr>
          <w:sz w:val="28"/>
          <w:szCs w:val="28"/>
          <w:lang w:val="en-GB"/>
        </w:rPr>
      </w:pPr>
      <w:r w:rsidRPr="00526CAF">
        <w:rPr>
          <w:b/>
          <w:bCs/>
          <w:sz w:val="28"/>
          <w:szCs w:val="28"/>
          <w:lang w:val="en-GB"/>
        </w:rPr>
        <w:t>Supplementary information:</w:t>
      </w:r>
    </w:p>
    <w:p w:rsidR="008E7016" w:rsidRPr="008E7016" w:rsidRDefault="008E7016" w:rsidP="008E7016">
      <w:pPr>
        <w:numPr>
          <w:ilvl w:val="0"/>
          <w:numId w:val="1"/>
        </w:numPr>
        <w:autoSpaceDE/>
        <w:autoSpaceDN/>
        <w:adjustRightInd/>
        <w:spacing w:before="100" w:beforeAutospacing="1" w:after="100" w:afterAutospacing="1"/>
        <w:rPr>
          <w:sz w:val="28"/>
          <w:szCs w:val="28"/>
          <w:lang w:val="en-GB"/>
        </w:rPr>
      </w:pPr>
      <w:r w:rsidRPr="008E7016">
        <w:rPr>
          <w:sz w:val="28"/>
          <w:szCs w:val="28"/>
          <w:lang w:val="en-GB"/>
        </w:rPr>
        <w:t xml:space="preserve">Universal Declaration of Human Rights of 1948; </w:t>
      </w:r>
    </w:p>
    <w:p w:rsidR="008E7016" w:rsidRPr="008E7016" w:rsidRDefault="008E7016" w:rsidP="008E7016">
      <w:pPr>
        <w:numPr>
          <w:ilvl w:val="0"/>
          <w:numId w:val="1"/>
        </w:numPr>
        <w:autoSpaceDE/>
        <w:autoSpaceDN/>
        <w:adjustRightInd/>
        <w:spacing w:before="100" w:beforeAutospacing="1" w:after="100" w:afterAutospacing="1"/>
        <w:rPr>
          <w:sz w:val="28"/>
          <w:szCs w:val="28"/>
          <w:lang w:val="en-GB"/>
        </w:rPr>
      </w:pPr>
      <w:r w:rsidRPr="008E7016">
        <w:rPr>
          <w:sz w:val="28"/>
          <w:szCs w:val="28"/>
          <w:lang w:val="en-GB"/>
        </w:rPr>
        <w:t xml:space="preserve">International Covenant on Civil and Political Rights of 1966; </w:t>
      </w:r>
    </w:p>
    <w:p w:rsidR="008E7016" w:rsidRPr="008E7016" w:rsidRDefault="008E7016" w:rsidP="008E7016">
      <w:pPr>
        <w:numPr>
          <w:ilvl w:val="0"/>
          <w:numId w:val="1"/>
        </w:numPr>
        <w:autoSpaceDE/>
        <w:autoSpaceDN/>
        <w:adjustRightInd/>
        <w:spacing w:before="100" w:beforeAutospacing="1" w:after="100" w:afterAutospacing="1"/>
        <w:rPr>
          <w:sz w:val="28"/>
          <w:szCs w:val="28"/>
          <w:lang w:val="en-GB"/>
        </w:rPr>
      </w:pPr>
      <w:r w:rsidRPr="008E7016">
        <w:rPr>
          <w:sz w:val="28"/>
          <w:szCs w:val="28"/>
          <w:lang w:val="en-GB"/>
        </w:rPr>
        <w:t xml:space="preserve">Convention for the Protection of Human Rights and Fundamental Freedoms of 1950. </w:t>
      </w:r>
    </w:p>
    <w:p w:rsidR="008E7016" w:rsidRPr="008E7016" w:rsidRDefault="008E7016" w:rsidP="008E7016">
      <w:pPr>
        <w:autoSpaceDE/>
        <w:autoSpaceDN/>
        <w:adjustRightInd/>
        <w:spacing w:before="100" w:beforeAutospacing="1" w:after="100" w:afterAutospacing="1"/>
        <w:rPr>
          <w:sz w:val="28"/>
          <w:szCs w:val="28"/>
          <w:lang w:val="en-GB"/>
        </w:rPr>
      </w:pPr>
      <w:r w:rsidRPr="00526CAF">
        <w:rPr>
          <w:b/>
          <w:bCs/>
          <w:sz w:val="28"/>
          <w:szCs w:val="28"/>
          <w:lang w:val="en-GB"/>
        </w:rPr>
        <w:t>Cross-References:</w:t>
      </w:r>
    </w:p>
    <w:p w:rsidR="008E7016" w:rsidRPr="008E7016" w:rsidRDefault="008E7016" w:rsidP="008E7016">
      <w:pPr>
        <w:autoSpaceDE/>
        <w:autoSpaceDN/>
        <w:adjustRightInd/>
        <w:spacing w:before="100" w:beforeAutospacing="1" w:after="100" w:afterAutospacing="1"/>
        <w:rPr>
          <w:sz w:val="28"/>
          <w:szCs w:val="28"/>
          <w:lang w:val="en-GB"/>
        </w:rPr>
      </w:pPr>
      <w:r w:rsidRPr="00526CAF">
        <w:rPr>
          <w:b/>
          <w:bCs/>
          <w:sz w:val="28"/>
          <w:szCs w:val="28"/>
          <w:lang w:val="en-GB"/>
        </w:rPr>
        <w:t>Constitutional Court of Ukraine:</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7-rp/2001, 30.05.2001;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22-rp/2004, 24.12.2004;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24-rp/2008, 16.10.2008;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2-rp/2016, 01.06.2016;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5-r/2020, 17.03.2020;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4-r(II)/2020, 17.06.2020;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5-r(II)/2021, 21.07.2021;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2-r(II)/2022, 06.04.2022;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6-r(II)/2022, 22.06.2022;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1-r/2022, 30.06.2022;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9-r(II)/2022, 16.11.2022;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11-r(II)/2023, 20.12.2023; </w:t>
      </w:r>
    </w:p>
    <w:p w:rsidR="008E7016" w:rsidRPr="008E7016" w:rsidRDefault="008E7016" w:rsidP="008E7016">
      <w:pPr>
        <w:numPr>
          <w:ilvl w:val="0"/>
          <w:numId w:val="2"/>
        </w:numPr>
        <w:autoSpaceDE/>
        <w:autoSpaceDN/>
        <w:adjustRightInd/>
        <w:spacing w:before="100" w:beforeAutospacing="1" w:after="100" w:afterAutospacing="1"/>
        <w:rPr>
          <w:sz w:val="28"/>
          <w:szCs w:val="28"/>
          <w:lang w:val="en-GB"/>
        </w:rPr>
      </w:pPr>
      <w:r w:rsidRPr="008E7016">
        <w:rPr>
          <w:sz w:val="28"/>
          <w:szCs w:val="28"/>
          <w:lang w:val="en-GB"/>
        </w:rPr>
        <w:t xml:space="preserve">no. 6-r(II)/2026, 15.07.2026. </w:t>
      </w:r>
    </w:p>
    <w:p w:rsidR="008E7016" w:rsidRPr="008E7016" w:rsidRDefault="008E7016" w:rsidP="008E7016">
      <w:pPr>
        <w:autoSpaceDE/>
        <w:autoSpaceDN/>
        <w:adjustRightInd/>
        <w:spacing w:before="100" w:beforeAutospacing="1" w:after="100" w:afterAutospacing="1"/>
        <w:rPr>
          <w:sz w:val="28"/>
          <w:szCs w:val="28"/>
          <w:lang w:val="en-GB"/>
        </w:rPr>
      </w:pPr>
      <w:r w:rsidRPr="00526CAF">
        <w:rPr>
          <w:b/>
          <w:bCs/>
          <w:sz w:val="28"/>
          <w:szCs w:val="28"/>
          <w:lang w:val="en-GB"/>
        </w:rPr>
        <w:t>European Court of Human Rights:</w:t>
      </w:r>
    </w:p>
    <w:p w:rsidR="008E7016" w:rsidRPr="008E7016" w:rsidRDefault="008E7016" w:rsidP="008E7016">
      <w:pPr>
        <w:numPr>
          <w:ilvl w:val="0"/>
          <w:numId w:val="3"/>
        </w:numPr>
        <w:autoSpaceDE/>
        <w:autoSpaceDN/>
        <w:adjustRightInd/>
        <w:spacing w:before="100" w:beforeAutospacing="1" w:after="100" w:afterAutospacing="1"/>
        <w:rPr>
          <w:sz w:val="28"/>
          <w:szCs w:val="28"/>
          <w:lang w:val="en-GB"/>
        </w:rPr>
      </w:pPr>
      <w:r w:rsidRPr="00526CAF">
        <w:rPr>
          <w:i/>
          <w:iCs/>
          <w:sz w:val="28"/>
          <w:szCs w:val="28"/>
          <w:lang w:val="en-GB"/>
        </w:rPr>
        <w:t>Bellet v. France</w:t>
      </w:r>
      <w:r w:rsidRPr="008E7016">
        <w:rPr>
          <w:sz w:val="28"/>
          <w:szCs w:val="28"/>
          <w:lang w:val="en-GB"/>
        </w:rPr>
        <w:t xml:space="preserve">, no. 23805/94, 04.12.1995; </w:t>
      </w:r>
    </w:p>
    <w:p w:rsidR="008E7016" w:rsidRPr="008E7016" w:rsidRDefault="008E7016" w:rsidP="008E7016">
      <w:pPr>
        <w:numPr>
          <w:ilvl w:val="0"/>
          <w:numId w:val="3"/>
        </w:numPr>
        <w:autoSpaceDE/>
        <w:autoSpaceDN/>
        <w:adjustRightInd/>
        <w:spacing w:before="100" w:beforeAutospacing="1" w:after="100" w:afterAutospacing="1"/>
        <w:rPr>
          <w:sz w:val="28"/>
          <w:szCs w:val="28"/>
          <w:lang w:val="en-GB"/>
        </w:rPr>
      </w:pPr>
      <w:r w:rsidRPr="00526CAF">
        <w:rPr>
          <w:i/>
          <w:iCs/>
          <w:sz w:val="28"/>
          <w:szCs w:val="28"/>
          <w:lang w:val="en-GB"/>
        </w:rPr>
        <w:t>Treyd 2008</w:t>
      </w:r>
      <w:r w:rsidR="008720DA">
        <w:rPr>
          <w:i/>
          <w:iCs/>
          <w:sz w:val="28"/>
          <w:szCs w:val="28"/>
          <w:lang w:val="en-US"/>
        </w:rPr>
        <w:t>,</w:t>
      </w:r>
      <w:r w:rsidRPr="00526CAF">
        <w:rPr>
          <w:i/>
          <w:iCs/>
          <w:sz w:val="28"/>
          <w:szCs w:val="28"/>
          <w:lang w:val="en-GB"/>
        </w:rPr>
        <w:t xml:space="preserve"> </w:t>
      </w:r>
      <w:r w:rsidR="008720DA" w:rsidRPr="00526CAF">
        <w:rPr>
          <w:i/>
          <w:iCs/>
          <w:sz w:val="28"/>
          <w:szCs w:val="28"/>
          <w:lang w:val="en-GB"/>
        </w:rPr>
        <w:t xml:space="preserve">TOV </w:t>
      </w:r>
      <w:r w:rsidRPr="00526CAF">
        <w:rPr>
          <w:i/>
          <w:iCs/>
          <w:sz w:val="28"/>
          <w:szCs w:val="28"/>
          <w:lang w:val="en-GB"/>
        </w:rPr>
        <w:t>v. Ukraine</w:t>
      </w:r>
      <w:r w:rsidRPr="008E7016">
        <w:rPr>
          <w:sz w:val="28"/>
          <w:szCs w:val="28"/>
          <w:lang w:val="en-GB"/>
        </w:rPr>
        <w:t xml:space="preserve">, no. 55765/12, 15.04.2021; </w:t>
      </w:r>
    </w:p>
    <w:p w:rsidR="008E7016" w:rsidRPr="008E7016" w:rsidRDefault="008E7016" w:rsidP="008E7016">
      <w:pPr>
        <w:numPr>
          <w:ilvl w:val="0"/>
          <w:numId w:val="3"/>
        </w:numPr>
        <w:autoSpaceDE/>
        <w:autoSpaceDN/>
        <w:adjustRightInd/>
        <w:spacing w:before="100" w:beforeAutospacing="1" w:after="100" w:afterAutospacing="1"/>
        <w:rPr>
          <w:sz w:val="28"/>
          <w:szCs w:val="28"/>
          <w:lang w:val="en-GB"/>
        </w:rPr>
      </w:pPr>
      <w:r w:rsidRPr="00526CAF">
        <w:rPr>
          <w:i/>
          <w:iCs/>
          <w:sz w:val="28"/>
          <w:szCs w:val="28"/>
          <w:lang w:val="en-GB"/>
        </w:rPr>
        <w:t>East/West Alliance Limited v. Ukraine</w:t>
      </w:r>
      <w:r w:rsidRPr="008E7016">
        <w:rPr>
          <w:sz w:val="28"/>
          <w:szCs w:val="28"/>
          <w:lang w:val="en-GB"/>
        </w:rPr>
        <w:t xml:space="preserve">, no. 19336/04, 23.01.2014. </w:t>
      </w:r>
    </w:p>
    <w:p w:rsidR="008E7016" w:rsidRPr="008E7016" w:rsidRDefault="008E7016" w:rsidP="008E7016">
      <w:pPr>
        <w:autoSpaceDE/>
        <w:autoSpaceDN/>
        <w:adjustRightInd/>
        <w:spacing w:before="100" w:beforeAutospacing="1" w:after="100" w:afterAutospacing="1"/>
        <w:rPr>
          <w:sz w:val="28"/>
          <w:szCs w:val="28"/>
          <w:lang w:val="en-GB"/>
        </w:rPr>
      </w:pPr>
      <w:r w:rsidRPr="00526CAF">
        <w:rPr>
          <w:b/>
          <w:bCs/>
          <w:sz w:val="28"/>
          <w:szCs w:val="28"/>
          <w:lang w:val="en-GB"/>
        </w:rPr>
        <w:t>Other Courts:</w:t>
      </w:r>
    </w:p>
    <w:p w:rsidR="008E7016" w:rsidRPr="008E7016" w:rsidRDefault="008E7016" w:rsidP="008E7016">
      <w:pPr>
        <w:numPr>
          <w:ilvl w:val="0"/>
          <w:numId w:val="4"/>
        </w:numPr>
        <w:autoSpaceDE/>
        <w:autoSpaceDN/>
        <w:adjustRightInd/>
        <w:spacing w:before="100" w:beforeAutospacing="1" w:after="100" w:afterAutospacing="1"/>
        <w:rPr>
          <w:sz w:val="28"/>
          <w:szCs w:val="28"/>
          <w:lang w:val="en-GB"/>
        </w:rPr>
      </w:pPr>
      <w:r w:rsidRPr="008E7016">
        <w:rPr>
          <w:sz w:val="28"/>
          <w:szCs w:val="28"/>
          <w:lang w:val="en-GB"/>
        </w:rPr>
        <w:t xml:space="preserve">Constitutional Court of the Czech Republic, no. I. ÚS 2485/13, 02.12.2013; </w:t>
      </w:r>
    </w:p>
    <w:p w:rsidR="008E7016" w:rsidRPr="008E7016" w:rsidRDefault="008E7016" w:rsidP="008E7016">
      <w:pPr>
        <w:numPr>
          <w:ilvl w:val="0"/>
          <w:numId w:val="4"/>
        </w:numPr>
        <w:autoSpaceDE/>
        <w:autoSpaceDN/>
        <w:adjustRightInd/>
        <w:spacing w:before="100" w:beforeAutospacing="1" w:after="100" w:afterAutospacing="1"/>
        <w:rPr>
          <w:sz w:val="28"/>
          <w:szCs w:val="28"/>
          <w:lang w:val="en-GB"/>
        </w:rPr>
      </w:pPr>
      <w:r w:rsidRPr="008E7016">
        <w:rPr>
          <w:sz w:val="28"/>
          <w:szCs w:val="28"/>
          <w:lang w:val="en-GB"/>
        </w:rPr>
        <w:t>Federal Constitutional Court of Germany, no. 2 BvR 1986/14, 17.04.2015.</w:t>
      </w:r>
    </w:p>
    <w:p w:rsidR="002B087F" w:rsidRPr="00526CAF" w:rsidRDefault="002B087F" w:rsidP="008E7016">
      <w:pPr>
        <w:pStyle w:val="HTML"/>
        <w:ind w:firstLine="851"/>
        <w:jc w:val="both"/>
        <w:rPr>
          <w:rFonts w:asciiTheme="majorBidi" w:hAnsiTheme="majorBidi" w:cstheme="majorBidi"/>
          <w:sz w:val="28"/>
          <w:szCs w:val="28"/>
          <w:lang w:val="en-GB"/>
        </w:rPr>
      </w:pPr>
    </w:p>
    <w:sectPr w:rsidR="002B087F" w:rsidRPr="00526CAF">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7FC" w:rsidRDefault="009027FC" w:rsidP="00786030">
      <w:r>
        <w:separator/>
      </w:r>
    </w:p>
  </w:endnote>
  <w:endnote w:type="continuationSeparator" w:id="0">
    <w:p w:rsidR="009027FC" w:rsidRDefault="009027FC" w:rsidP="0078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7FC" w:rsidRDefault="009027FC" w:rsidP="00786030">
      <w:r>
        <w:separator/>
      </w:r>
    </w:p>
  </w:footnote>
  <w:footnote w:type="continuationSeparator" w:id="0">
    <w:p w:rsidR="009027FC" w:rsidRDefault="009027FC" w:rsidP="0078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56E43"/>
    <w:multiLevelType w:val="multilevel"/>
    <w:tmpl w:val="8DE2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6E2BF6"/>
    <w:multiLevelType w:val="multilevel"/>
    <w:tmpl w:val="64B4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441D0E"/>
    <w:multiLevelType w:val="multilevel"/>
    <w:tmpl w:val="CDA2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5A69C7"/>
    <w:multiLevelType w:val="multilevel"/>
    <w:tmpl w:val="A1B8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DF"/>
    <w:rsid w:val="000029FC"/>
    <w:rsid w:val="0000432B"/>
    <w:rsid w:val="000052E6"/>
    <w:rsid w:val="00007F28"/>
    <w:rsid w:val="00010341"/>
    <w:rsid w:val="000115DE"/>
    <w:rsid w:val="000151A3"/>
    <w:rsid w:val="000156D3"/>
    <w:rsid w:val="00017D90"/>
    <w:rsid w:val="00017EBC"/>
    <w:rsid w:val="000200A7"/>
    <w:rsid w:val="00022F67"/>
    <w:rsid w:val="00023A8B"/>
    <w:rsid w:val="0002430F"/>
    <w:rsid w:val="00024C74"/>
    <w:rsid w:val="00031A05"/>
    <w:rsid w:val="00032E33"/>
    <w:rsid w:val="00034ADC"/>
    <w:rsid w:val="000354BE"/>
    <w:rsid w:val="000437F8"/>
    <w:rsid w:val="00043BF9"/>
    <w:rsid w:val="00045F77"/>
    <w:rsid w:val="000460DF"/>
    <w:rsid w:val="000515FF"/>
    <w:rsid w:val="00051AB7"/>
    <w:rsid w:val="0005200A"/>
    <w:rsid w:val="00053ECC"/>
    <w:rsid w:val="000549A9"/>
    <w:rsid w:val="000569FD"/>
    <w:rsid w:val="00056A60"/>
    <w:rsid w:val="00064EC6"/>
    <w:rsid w:val="0007174E"/>
    <w:rsid w:val="00072DF8"/>
    <w:rsid w:val="00074218"/>
    <w:rsid w:val="00074DE5"/>
    <w:rsid w:val="00076F6B"/>
    <w:rsid w:val="00077A9D"/>
    <w:rsid w:val="00082703"/>
    <w:rsid w:val="0008371C"/>
    <w:rsid w:val="00084670"/>
    <w:rsid w:val="00084C15"/>
    <w:rsid w:val="00086D82"/>
    <w:rsid w:val="0008710F"/>
    <w:rsid w:val="000878BA"/>
    <w:rsid w:val="00091C1E"/>
    <w:rsid w:val="0009741F"/>
    <w:rsid w:val="000A0FA5"/>
    <w:rsid w:val="000A29A0"/>
    <w:rsid w:val="000A5096"/>
    <w:rsid w:val="000A60D7"/>
    <w:rsid w:val="000A7695"/>
    <w:rsid w:val="000B1DA5"/>
    <w:rsid w:val="000B40DD"/>
    <w:rsid w:val="000B43C0"/>
    <w:rsid w:val="000B48B1"/>
    <w:rsid w:val="000B49E2"/>
    <w:rsid w:val="000B7D63"/>
    <w:rsid w:val="000C0DE3"/>
    <w:rsid w:val="000C1FEC"/>
    <w:rsid w:val="000C276B"/>
    <w:rsid w:val="000C2B6E"/>
    <w:rsid w:val="000C4870"/>
    <w:rsid w:val="000D1B9A"/>
    <w:rsid w:val="000D2B7D"/>
    <w:rsid w:val="000D4569"/>
    <w:rsid w:val="000E0336"/>
    <w:rsid w:val="000E551A"/>
    <w:rsid w:val="000E7825"/>
    <w:rsid w:val="000F32C8"/>
    <w:rsid w:val="000F6985"/>
    <w:rsid w:val="00101629"/>
    <w:rsid w:val="0010239A"/>
    <w:rsid w:val="001024FD"/>
    <w:rsid w:val="00103CA9"/>
    <w:rsid w:val="00104F8D"/>
    <w:rsid w:val="001059E6"/>
    <w:rsid w:val="00113D2E"/>
    <w:rsid w:val="00115A60"/>
    <w:rsid w:val="001201F5"/>
    <w:rsid w:val="00122474"/>
    <w:rsid w:val="0012378A"/>
    <w:rsid w:val="00123E8C"/>
    <w:rsid w:val="00125797"/>
    <w:rsid w:val="00126824"/>
    <w:rsid w:val="00134359"/>
    <w:rsid w:val="00135AB3"/>
    <w:rsid w:val="0013736C"/>
    <w:rsid w:val="0014242E"/>
    <w:rsid w:val="00146DFC"/>
    <w:rsid w:val="00150B07"/>
    <w:rsid w:val="00153878"/>
    <w:rsid w:val="0015415C"/>
    <w:rsid w:val="001602C2"/>
    <w:rsid w:val="00160D95"/>
    <w:rsid w:val="0016128D"/>
    <w:rsid w:val="00163C25"/>
    <w:rsid w:val="001704B8"/>
    <w:rsid w:val="00172696"/>
    <w:rsid w:val="00172EE2"/>
    <w:rsid w:val="0017591E"/>
    <w:rsid w:val="00175E1E"/>
    <w:rsid w:val="00181D94"/>
    <w:rsid w:val="00190233"/>
    <w:rsid w:val="001917EA"/>
    <w:rsid w:val="00192668"/>
    <w:rsid w:val="00192F65"/>
    <w:rsid w:val="001933AA"/>
    <w:rsid w:val="001A0155"/>
    <w:rsid w:val="001A7F2D"/>
    <w:rsid w:val="001B056E"/>
    <w:rsid w:val="001B1A42"/>
    <w:rsid w:val="001B1F2F"/>
    <w:rsid w:val="001B2174"/>
    <w:rsid w:val="001B3969"/>
    <w:rsid w:val="001B3A74"/>
    <w:rsid w:val="001B7BC0"/>
    <w:rsid w:val="001C0D8F"/>
    <w:rsid w:val="001C2064"/>
    <w:rsid w:val="001C2DF5"/>
    <w:rsid w:val="001C47F7"/>
    <w:rsid w:val="001C71B1"/>
    <w:rsid w:val="001D1FEA"/>
    <w:rsid w:val="001D2F39"/>
    <w:rsid w:val="001D4D57"/>
    <w:rsid w:val="001D5352"/>
    <w:rsid w:val="001D5675"/>
    <w:rsid w:val="001D5EC4"/>
    <w:rsid w:val="001D6E9F"/>
    <w:rsid w:val="001E0EDA"/>
    <w:rsid w:val="001E1344"/>
    <w:rsid w:val="001E1D6E"/>
    <w:rsid w:val="001E27C6"/>
    <w:rsid w:val="001F17CE"/>
    <w:rsid w:val="001F2198"/>
    <w:rsid w:val="001F66FD"/>
    <w:rsid w:val="001F6E9C"/>
    <w:rsid w:val="001F7DA6"/>
    <w:rsid w:val="00202ED0"/>
    <w:rsid w:val="00203186"/>
    <w:rsid w:val="00205329"/>
    <w:rsid w:val="0020799E"/>
    <w:rsid w:val="002114DC"/>
    <w:rsid w:val="00211752"/>
    <w:rsid w:val="00213752"/>
    <w:rsid w:val="002152D3"/>
    <w:rsid w:val="00216A58"/>
    <w:rsid w:val="00216EC0"/>
    <w:rsid w:val="00216F4F"/>
    <w:rsid w:val="00223DC7"/>
    <w:rsid w:val="00224A65"/>
    <w:rsid w:val="00232BBD"/>
    <w:rsid w:val="002332AC"/>
    <w:rsid w:val="00234BBC"/>
    <w:rsid w:val="002355AC"/>
    <w:rsid w:val="002361BE"/>
    <w:rsid w:val="00240454"/>
    <w:rsid w:val="002432C0"/>
    <w:rsid w:val="0024579B"/>
    <w:rsid w:val="0024655C"/>
    <w:rsid w:val="00246BEE"/>
    <w:rsid w:val="00247AD2"/>
    <w:rsid w:val="00253797"/>
    <w:rsid w:val="0025492F"/>
    <w:rsid w:val="0025557C"/>
    <w:rsid w:val="00264248"/>
    <w:rsid w:val="002665ED"/>
    <w:rsid w:val="00273AC9"/>
    <w:rsid w:val="002742B3"/>
    <w:rsid w:val="00275BF6"/>
    <w:rsid w:val="00275E25"/>
    <w:rsid w:val="00275F8D"/>
    <w:rsid w:val="002808B6"/>
    <w:rsid w:val="00285D3C"/>
    <w:rsid w:val="002864AA"/>
    <w:rsid w:val="00286F1A"/>
    <w:rsid w:val="002875B5"/>
    <w:rsid w:val="00290CC3"/>
    <w:rsid w:val="00292E69"/>
    <w:rsid w:val="00292F4E"/>
    <w:rsid w:val="00294EC3"/>
    <w:rsid w:val="002962F6"/>
    <w:rsid w:val="00296A67"/>
    <w:rsid w:val="00296CB4"/>
    <w:rsid w:val="002974C5"/>
    <w:rsid w:val="002A27F6"/>
    <w:rsid w:val="002B087F"/>
    <w:rsid w:val="002B2416"/>
    <w:rsid w:val="002B306C"/>
    <w:rsid w:val="002C3792"/>
    <w:rsid w:val="002C55D0"/>
    <w:rsid w:val="002D1430"/>
    <w:rsid w:val="002D14AD"/>
    <w:rsid w:val="002D1E7C"/>
    <w:rsid w:val="002D3E3B"/>
    <w:rsid w:val="002D4E25"/>
    <w:rsid w:val="002E1879"/>
    <w:rsid w:val="002E1980"/>
    <w:rsid w:val="002E29F7"/>
    <w:rsid w:val="002E42DD"/>
    <w:rsid w:val="002E4860"/>
    <w:rsid w:val="002E5AA1"/>
    <w:rsid w:val="002E5AB1"/>
    <w:rsid w:val="002E5E7F"/>
    <w:rsid w:val="002E6F4D"/>
    <w:rsid w:val="002E71A0"/>
    <w:rsid w:val="002F0171"/>
    <w:rsid w:val="002F57DF"/>
    <w:rsid w:val="002F6EB7"/>
    <w:rsid w:val="002F77F9"/>
    <w:rsid w:val="00301431"/>
    <w:rsid w:val="00303DA6"/>
    <w:rsid w:val="003044ED"/>
    <w:rsid w:val="003079DD"/>
    <w:rsid w:val="00310627"/>
    <w:rsid w:val="0031187C"/>
    <w:rsid w:val="003178CC"/>
    <w:rsid w:val="00324CCA"/>
    <w:rsid w:val="00325EF4"/>
    <w:rsid w:val="003267AB"/>
    <w:rsid w:val="00327AA8"/>
    <w:rsid w:val="00332D56"/>
    <w:rsid w:val="00332E5A"/>
    <w:rsid w:val="0033339B"/>
    <w:rsid w:val="0033508B"/>
    <w:rsid w:val="003350B2"/>
    <w:rsid w:val="00337EF1"/>
    <w:rsid w:val="003415B0"/>
    <w:rsid w:val="0034161C"/>
    <w:rsid w:val="0035010E"/>
    <w:rsid w:val="00350EC6"/>
    <w:rsid w:val="00352CE2"/>
    <w:rsid w:val="00354DD9"/>
    <w:rsid w:val="003551DD"/>
    <w:rsid w:val="00356F05"/>
    <w:rsid w:val="00357470"/>
    <w:rsid w:val="003604B2"/>
    <w:rsid w:val="00360CEF"/>
    <w:rsid w:val="003629C4"/>
    <w:rsid w:val="00363FEB"/>
    <w:rsid w:val="003645E3"/>
    <w:rsid w:val="00364968"/>
    <w:rsid w:val="0036547B"/>
    <w:rsid w:val="00367FD0"/>
    <w:rsid w:val="0037136D"/>
    <w:rsid w:val="00371803"/>
    <w:rsid w:val="00373E47"/>
    <w:rsid w:val="00374526"/>
    <w:rsid w:val="00374DC3"/>
    <w:rsid w:val="00375C7B"/>
    <w:rsid w:val="00377A4A"/>
    <w:rsid w:val="00380566"/>
    <w:rsid w:val="00381076"/>
    <w:rsid w:val="00381C2B"/>
    <w:rsid w:val="00383255"/>
    <w:rsid w:val="00384778"/>
    <w:rsid w:val="00396B67"/>
    <w:rsid w:val="00397EF9"/>
    <w:rsid w:val="003A28F2"/>
    <w:rsid w:val="003A50C4"/>
    <w:rsid w:val="003A5C55"/>
    <w:rsid w:val="003C226B"/>
    <w:rsid w:val="003C29FB"/>
    <w:rsid w:val="003C2EB0"/>
    <w:rsid w:val="003C6DD3"/>
    <w:rsid w:val="003D17E9"/>
    <w:rsid w:val="003D2BFF"/>
    <w:rsid w:val="003D59C5"/>
    <w:rsid w:val="003D6CBF"/>
    <w:rsid w:val="003D7338"/>
    <w:rsid w:val="003D7B07"/>
    <w:rsid w:val="003E4446"/>
    <w:rsid w:val="003F0162"/>
    <w:rsid w:val="003F0F01"/>
    <w:rsid w:val="003F207F"/>
    <w:rsid w:val="003F22AB"/>
    <w:rsid w:val="003F29E5"/>
    <w:rsid w:val="003F5C71"/>
    <w:rsid w:val="003F64F6"/>
    <w:rsid w:val="003F6A2E"/>
    <w:rsid w:val="003F7155"/>
    <w:rsid w:val="003F78D1"/>
    <w:rsid w:val="00401755"/>
    <w:rsid w:val="00407025"/>
    <w:rsid w:val="0040751B"/>
    <w:rsid w:val="00410148"/>
    <w:rsid w:val="0041123E"/>
    <w:rsid w:val="00412B6B"/>
    <w:rsid w:val="00414EEC"/>
    <w:rsid w:val="00414F26"/>
    <w:rsid w:val="0041523F"/>
    <w:rsid w:val="00415ABB"/>
    <w:rsid w:val="00417A74"/>
    <w:rsid w:val="00423C2C"/>
    <w:rsid w:val="004331FF"/>
    <w:rsid w:val="00435508"/>
    <w:rsid w:val="00436DC7"/>
    <w:rsid w:val="004402BB"/>
    <w:rsid w:val="00440D03"/>
    <w:rsid w:val="00440EC6"/>
    <w:rsid w:val="00441734"/>
    <w:rsid w:val="0044238F"/>
    <w:rsid w:val="004472C0"/>
    <w:rsid w:val="0044742F"/>
    <w:rsid w:val="00447B64"/>
    <w:rsid w:val="00447FC6"/>
    <w:rsid w:val="00451154"/>
    <w:rsid w:val="00451A71"/>
    <w:rsid w:val="00453D9A"/>
    <w:rsid w:val="00454A1F"/>
    <w:rsid w:val="0045541F"/>
    <w:rsid w:val="00455AF4"/>
    <w:rsid w:val="00457141"/>
    <w:rsid w:val="00463326"/>
    <w:rsid w:val="00463F6E"/>
    <w:rsid w:val="00465098"/>
    <w:rsid w:val="0046512B"/>
    <w:rsid w:val="004656BA"/>
    <w:rsid w:val="00467A21"/>
    <w:rsid w:val="004700C2"/>
    <w:rsid w:val="004710FF"/>
    <w:rsid w:val="00471EBB"/>
    <w:rsid w:val="00471F97"/>
    <w:rsid w:val="004747D4"/>
    <w:rsid w:val="004753F5"/>
    <w:rsid w:val="00477E68"/>
    <w:rsid w:val="0048094E"/>
    <w:rsid w:val="00484B20"/>
    <w:rsid w:val="004866EF"/>
    <w:rsid w:val="00490B3B"/>
    <w:rsid w:val="00494417"/>
    <w:rsid w:val="00494829"/>
    <w:rsid w:val="00495180"/>
    <w:rsid w:val="0049792E"/>
    <w:rsid w:val="004A2973"/>
    <w:rsid w:val="004A3624"/>
    <w:rsid w:val="004A3F9D"/>
    <w:rsid w:val="004A5514"/>
    <w:rsid w:val="004A5F5C"/>
    <w:rsid w:val="004A6556"/>
    <w:rsid w:val="004B48FA"/>
    <w:rsid w:val="004B64C4"/>
    <w:rsid w:val="004B7FAC"/>
    <w:rsid w:val="004C18BF"/>
    <w:rsid w:val="004C28F9"/>
    <w:rsid w:val="004C2E91"/>
    <w:rsid w:val="004C6612"/>
    <w:rsid w:val="004D29F7"/>
    <w:rsid w:val="004D2C40"/>
    <w:rsid w:val="004D4977"/>
    <w:rsid w:val="004D4E9C"/>
    <w:rsid w:val="004D73F4"/>
    <w:rsid w:val="004D7614"/>
    <w:rsid w:val="004D7864"/>
    <w:rsid w:val="004E40C8"/>
    <w:rsid w:val="004E6490"/>
    <w:rsid w:val="004E74CB"/>
    <w:rsid w:val="004E7A5F"/>
    <w:rsid w:val="004F047E"/>
    <w:rsid w:val="004F2583"/>
    <w:rsid w:val="004F3993"/>
    <w:rsid w:val="004F3AA8"/>
    <w:rsid w:val="004F55D6"/>
    <w:rsid w:val="0050188C"/>
    <w:rsid w:val="00502951"/>
    <w:rsid w:val="00507A6D"/>
    <w:rsid w:val="00512A15"/>
    <w:rsid w:val="00515406"/>
    <w:rsid w:val="0051592D"/>
    <w:rsid w:val="00515E58"/>
    <w:rsid w:val="00515E68"/>
    <w:rsid w:val="005230A7"/>
    <w:rsid w:val="00523C3F"/>
    <w:rsid w:val="0052439D"/>
    <w:rsid w:val="00526CAF"/>
    <w:rsid w:val="005320A5"/>
    <w:rsid w:val="00535250"/>
    <w:rsid w:val="005372A8"/>
    <w:rsid w:val="00537D1B"/>
    <w:rsid w:val="00537E57"/>
    <w:rsid w:val="00542615"/>
    <w:rsid w:val="00542D4F"/>
    <w:rsid w:val="00543C1C"/>
    <w:rsid w:val="005446DB"/>
    <w:rsid w:val="00545D26"/>
    <w:rsid w:val="005468F1"/>
    <w:rsid w:val="005478DC"/>
    <w:rsid w:val="0055039C"/>
    <w:rsid w:val="00550441"/>
    <w:rsid w:val="005523FE"/>
    <w:rsid w:val="005561F6"/>
    <w:rsid w:val="00556758"/>
    <w:rsid w:val="00556D71"/>
    <w:rsid w:val="00562752"/>
    <w:rsid w:val="00563DF5"/>
    <w:rsid w:val="005645F4"/>
    <w:rsid w:val="00564D25"/>
    <w:rsid w:val="0056537A"/>
    <w:rsid w:val="00567806"/>
    <w:rsid w:val="00570F0E"/>
    <w:rsid w:val="0057514E"/>
    <w:rsid w:val="00580524"/>
    <w:rsid w:val="00581B72"/>
    <w:rsid w:val="00581C14"/>
    <w:rsid w:val="00584600"/>
    <w:rsid w:val="00584A97"/>
    <w:rsid w:val="005907F0"/>
    <w:rsid w:val="00593BB9"/>
    <w:rsid w:val="00597A82"/>
    <w:rsid w:val="005A0E76"/>
    <w:rsid w:val="005A709E"/>
    <w:rsid w:val="005B415D"/>
    <w:rsid w:val="005B754A"/>
    <w:rsid w:val="005B779F"/>
    <w:rsid w:val="005C0B06"/>
    <w:rsid w:val="005C1862"/>
    <w:rsid w:val="005C45EE"/>
    <w:rsid w:val="005C5724"/>
    <w:rsid w:val="005C64DC"/>
    <w:rsid w:val="005C7042"/>
    <w:rsid w:val="005D0AB1"/>
    <w:rsid w:val="005D3B85"/>
    <w:rsid w:val="005D4155"/>
    <w:rsid w:val="005D42C0"/>
    <w:rsid w:val="005D6214"/>
    <w:rsid w:val="005E2F18"/>
    <w:rsid w:val="005E33B4"/>
    <w:rsid w:val="005E3A78"/>
    <w:rsid w:val="005E451F"/>
    <w:rsid w:val="005F102B"/>
    <w:rsid w:val="005F1CAF"/>
    <w:rsid w:val="005F20FE"/>
    <w:rsid w:val="005F2AF3"/>
    <w:rsid w:val="005F31F4"/>
    <w:rsid w:val="005F3EF2"/>
    <w:rsid w:val="005F4F51"/>
    <w:rsid w:val="005F7243"/>
    <w:rsid w:val="005F7FA3"/>
    <w:rsid w:val="00600CBB"/>
    <w:rsid w:val="0060263F"/>
    <w:rsid w:val="00603917"/>
    <w:rsid w:val="00605125"/>
    <w:rsid w:val="00605614"/>
    <w:rsid w:val="00610449"/>
    <w:rsid w:val="00611044"/>
    <w:rsid w:val="006111AA"/>
    <w:rsid w:val="006116D3"/>
    <w:rsid w:val="006171BE"/>
    <w:rsid w:val="00620DD1"/>
    <w:rsid w:val="00622585"/>
    <w:rsid w:val="00624C51"/>
    <w:rsid w:val="00626572"/>
    <w:rsid w:val="006300A7"/>
    <w:rsid w:val="006308F4"/>
    <w:rsid w:val="00631E57"/>
    <w:rsid w:val="0063339A"/>
    <w:rsid w:val="00634BF0"/>
    <w:rsid w:val="00634EF6"/>
    <w:rsid w:val="00635A43"/>
    <w:rsid w:val="00643987"/>
    <w:rsid w:val="00643C79"/>
    <w:rsid w:val="006476C6"/>
    <w:rsid w:val="006512BA"/>
    <w:rsid w:val="0065172C"/>
    <w:rsid w:val="00654E69"/>
    <w:rsid w:val="006564C8"/>
    <w:rsid w:val="00662AB4"/>
    <w:rsid w:val="00663571"/>
    <w:rsid w:val="00663C3E"/>
    <w:rsid w:val="00666C17"/>
    <w:rsid w:val="00667394"/>
    <w:rsid w:val="006702EC"/>
    <w:rsid w:val="006738AD"/>
    <w:rsid w:val="00674B09"/>
    <w:rsid w:val="0067655F"/>
    <w:rsid w:val="00677F55"/>
    <w:rsid w:val="00680E1C"/>
    <w:rsid w:val="0068294A"/>
    <w:rsid w:val="00683196"/>
    <w:rsid w:val="00683E82"/>
    <w:rsid w:val="006853B8"/>
    <w:rsid w:val="006927E5"/>
    <w:rsid w:val="00696B07"/>
    <w:rsid w:val="006A13D8"/>
    <w:rsid w:val="006A1D7D"/>
    <w:rsid w:val="006A2AC7"/>
    <w:rsid w:val="006A3405"/>
    <w:rsid w:val="006A63AD"/>
    <w:rsid w:val="006B223B"/>
    <w:rsid w:val="006B22A5"/>
    <w:rsid w:val="006B24CC"/>
    <w:rsid w:val="006B3D34"/>
    <w:rsid w:val="006B71BC"/>
    <w:rsid w:val="006C30B9"/>
    <w:rsid w:val="006C381A"/>
    <w:rsid w:val="006C504F"/>
    <w:rsid w:val="006C5369"/>
    <w:rsid w:val="006C6BBF"/>
    <w:rsid w:val="006C7457"/>
    <w:rsid w:val="006D0A2B"/>
    <w:rsid w:val="006D3187"/>
    <w:rsid w:val="006D3329"/>
    <w:rsid w:val="006D3698"/>
    <w:rsid w:val="006D3717"/>
    <w:rsid w:val="006D4B02"/>
    <w:rsid w:val="006E22FF"/>
    <w:rsid w:val="006E312B"/>
    <w:rsid w:val="006E44C4"/>
    <w:rsid w:val="006E4ED8"/>
    <w:rsid w:val="006E518A"/>
    <w:rsid w:val="006F1C30"/>
    <w:rsid w:val="006F2A82"/>
    <w:rsid w:val="006F3DAA"/>
    <w:rsid w:val="006F40E2"/>
    <w:rsid w:val="006F6489"/>
    <w:rsid w:val="006F6946"/>
    <w:rsid w:val="006F7551"/>
    <w:rsid w:val="006F7B84"/>
    <w:rsid w:val="0070534D"/>
    <w:rsid w:val="0070577C"/>
    <w:rsid w:val="00711AF8"/>
    <w:rsid w:val="007132B3"/>
    <w:rsid w:val="00714BEF"/>
    <w:rsid w:val="007159B0"/>
    <w:rsid w:val="00724510"/>
    <w:rsid w:val="007260AA"/>
    <w:rsid w:val="007308EA"/>
    <w:rsid w:val="00730C48"/>
    <w:rsid w:val="007319ED"/>
    <w:rsid w:val="00732322"/>
    <w:rsid w:val="00733C2A"/>
    <w:rsid w:val="007364F0"/>
    <w:rsid w:val="00737127"/>
    <w:rsid w:val="00737FEE"/>
    <w:rsid w:val="00742146"/>
    <w:rsid w:val="00743C57"/>
    <w:rsid w:val="00743C9B"/>
    <w:rsid w:val="00744C72"/>
    <w:rsid w:val="00751605"/>
    <w:rsid w:val="00756B58"/>
    <w:rsid w:val="00756E2C"/>
    <w:rsid w:val="00757019"/>
    <w:rsid w:val="007606F6"/>
    <w:rsid w:val="00761846"/>
    <w:rsid w:val="00766138"/>
    <w:rsid w:val="007672C9"/>
    <w:rsid w:val="007708D9"/>
    <w:rsid w:val="00774565"/>
    <w:rsid w:val="00775732"/>
    <w:rsid w:val="00775C38"/>
    <w:rsid w:val="007764F2"/>
    <w:rsid w:val="00776A77"/>
    <w:rsid w:val="00776EF6"/>
    <w:rsid w:val="00781367"/>
    <w:rsid w:val="00782141"/>
    <w:rsid w:val="00786030"/>
    <w:rsid w:val="00786BB9"/>
    <w:rsid w:val="00787705"/>
    <w:rsid w:val="007918D3"/>
    <w:rsid w:val="00791B51"/>
    <w:rsid w:val="007951F2"/>
    <w:rsid w:val="0079764F"/>
    <w:rsid w:val="00797716"/>
    <w:rsid w:val="00797762"/>
    <w:rsid w:val="007977CC"/>
    <w:rsid w:val="007A01A0"/>
    <w:rsid w:val="007A2229"/>
    <w:rsid w:val="007A4588"/>
    <w:rsid w:val="007A58A9"/>
    <w:rsid w:val="007B1FC5"/>
    <w:rsid w:val="007B2D8A"/>
    <w:rsid w:val="007B7215"/>
    <w:rsid w:val="007C08A9"/>
    <w:rsid w:val="007C70F8"/>
    <w:rsid w:val="007D4CFB"/>
    <w:rsid w:val="007D6FE4"/>
    <w:rsid w:val="007D7F77"/>
    <w:rsid w:val="007E062A"/>
    <w:rsid w:val="007E06EF"/>
    <w:rsid w:val="007E0CEC"/>
    <w:rsid w:val="007E1D0B"/>
    <w:rsid w:val="007E28EF"/>
    <w:rsid w:val="007E4225"/>
    <w:rsid w:val="007E5589"/>
    <w:rsid w:val="007E58AA"/>
    <w:rsid w:val="007E7BD0"/>
    <w:rsid w:val="007F1C60"/>
    <w:rsid w:val="007F2E98"/>
    <w:rsid w:val="007F3C93"/>
    <w:rsid w:val="007F65FC"/>
    <w:rsid w:val="00801C21"/>
    <w:rsid w:val="008044F9"/>
    <w:rsid w:val="008058DC"/>
    <w:rsid w:val="00806468"/>
    <w:rsid w:val="00811610"/>
    <w:rsid w:val="00811D70"/>
    <w:rsid w:val="00811E5E"/>
    <w:rsid w:val="008121D6"/>
    <w:rsid w:val="00816084"/>
    <w:rsid w:val="008171D0"/>
    <w:rsid w:val="0082146E"/>
    <w:rsid w:val="00825382"/>
    <w:rsid w:val="00825C3E"/>
    <w:rsid w:val="00826A7A"/>
    <w:rsid w:val="00827A77"/>
    <w:rsid w:val="00830BC9"/>
    <w:rsid w:val="00833C35"/>
    <w:rsid w:val="00834AE7"/>
    <w:rsid w:val="00840A97"/>
    <w:rsid w:val="00841992"/>
    <w:rsid w:val="00843384"/>
    <w:rsid w:val="00850741"/>
    <w:rsid w:val="008531C8"/>
    <w:rsid w:val="008575CF"/>
    <w:rsid w:val="00870CD7"/>
    <w:rsid w:val="008714B4"/>
    <w:rsid w:val="008720DA"/>
    <w:rsid w:val="008727BF"/>
    <w:rsid w:val="00872E09"/>
    <w:rsid w:val="00873E31"/>
    <w:rsid w:val="00874088"/>
    <w:rsid w:val="0087408A"/>
    <w:rsid w:val="00874895"/>
    <w:rsid w:val="00876160"/>
    <w:rsid w:val="008778CF"/>
    <w:rsid w:val="00880A08"/>
    <w:rsid w:val="00882EFD"/>
    <w:rsid w:val="00883A67"/>
    <w:rsid w:val="0088521F"/>
    <w:rsid w:val="00887EE4"/>
    <w:rsid w:val="00891BB4"/>
    <w:rsid w:val="008936A1"/>
    <w:rsid w:val="0089392A"/>
    <w:rsid w:val="00896413"/>
    <w:rsid w:val="008A361D"/>
    <w:rsid w:val="008A40AA"/>
    <w:rsid w:val="008A4BF8"/>
    <w:rsid w:val="008A6A6A"/>
    <w:rsid w:val="008B24C8"/>
    <w:rsid w:val="008B4D20"/>
    <w:rsid w:val="008C1C1D"/>
    <w:rsid w:val="008C20B2"/>
    <w:rsid w:val="008C760C"/>
    <w:rsid w:val="008D33D2"/>
    <w:rsid w:val="008D5672"/>
    <w:rsid w:val="008D5B90"/>
    <w:rsid w:val="008D6395"/>
    <w:rsid w:val="008E1AD7"/>
    <w:rsid w:val="008E4299"/>
    <w:rsid w:val="008E57B6"/>
    <w:rsid w:val="008E7016"/>
    <w:rsid w:val="008E77E4"/>
    <w:rsid w:val="008F0EC8"/>
    <w:rsid w:val="008F20BE"/>
    <w:rsid w:val="008F2657"/>
    <w:rsid w:val="008F2A16"/>
    <w:rsid w:val="008F34A2"/>
    <w:rsid w:val="008F43A4"/>
    <w:rsid w:val="008F5232"/>
    <w:rsid w:val="008F5C27"/>
    <w:rsid w:val="00900388"/>
    <w:rsid w:val="00900B56"/>
    <w:rsid w:val="009027FC"/>
    <w:rsid w:val="00902E7A"/>
    <w:rsid w:val="0090695C"/>
    <w:rsid w:val="0090735D"/>
    <w:rsid w:val="009073F1"/>
    <w:rsid w:val="00910098"/>
    <w:rsid w:val="009119F3"/>
    <w:rsid w:val="00911FAE"/>
    <w:rsid w:val="00912131"/>
    <w:rsid w:val="00912173"/>
    <w:rsid w:val="00914AA3"/>
    <w:rsid w:val="00914BF5"/>
    <w:rsid w:val="00917AC9"/>
    <w:rsid w:val="009209DE"/>
    <w:rsid w:val="009219CE"/>
    <w:rsid w:val="00921FF9"/>
    <w:rsid w:val="009244AA"/>
    <w:rsid w:val="00925585"/>
    <w:rsid w:val="00925922"/>
    <w:rsid w:val="009259C8"/>
    <w:rsid w:val="00926212"/>
    <w:rsid w:val="009302FE"/>
    <w:rsid w:val="00930C66"/>
    <w:rsid w:val="00930E35"/>
    <w:rsid w:val="00930EC7"/>
    <w:rsid w:val="009312B6"/>
    <w:rsid w:val="00931D0D"/>
    <w:rsid w:val="00931E46"/>
    <w:rsid w:val="00932D65"/>
    <w:rsid w:val="00935A13"/>
    <w:rsid w:val="00936C74"/>
    <w:rsid w:val="0093779B"/>
    <w:rsid w:val="00941015"/>
    <w:rsid w:val="00941034"/>
    <w:rsid w:val="0094311B"/>
    <w:rsid w:val="00946A37"/>
    <w:rsid w:val="0095031D"/>
    <w:rsid w:val="00952766"/>
    <w:rsid w:val="00952865"/>
    <w:rsid w:val="00955B15"/>
    <w:rsid w:val="00956063"/>
    <w:rsid w:val="009573CB"/>
    <w:rsid w:val="009577CB"/>
    <w:rsid w:val="00957B2E"/>
    <w:rsid w:val="009608C8"/>
    <w:rsid w:val="009614D0"/>
    <w:rsid w:val="00962CA7"/>
    <w:rsid w:val="009671DE"/>
    <w:rsid w:val="00967A8A"/>
    <w:rsid w:val="00970CAF"/>
    <w:rsid w:val="00974E51"/>
    <w:rsid w:val="009801ED"/>
    <w:rsid w:val="00981591"/>
    <w:rsid w:val="00982619"/>
    <w:rsid w:val="00984EF3"/>
    <w:rsid w:val="00984FFC"/>
    <w:rsid w:val="00985CEA"/>
    <w:rsid w:val="00987772"/>
    <w:rsid w:val="00990D42"/>
    <w:rsid w:val="00991A7A"/>
    <w:rsid w:val="00992FC7"/>
    <w:rsid w:val="00993AA2"/>
    <w:rsid w:val="00993EB7"/>
    <w:rsid w:val="00994FDC"/>
    <w:rsid w:val="00995EF0"/>
    <w:rsid w:val="0099629B"/>
    <w:rsid w:val="009967DC"/>
    <w:rsid w:val="00997119"/>
    <w:rsid w:val="009B3E31"/>
    <w:rsid w:val="009B4C02"/>
    <w:rsid w:val="009B4D18"/>
    <w:rsid w:val="009B722C"/>
    <w:rsid w:val="009B72E2"/>
    <w:rsid w:val="009C6175"/>
    <w:rsid w:val="009C6D72"/>
    <w:rsid w:val="009C773E"/>
    <w:rsid w:val="009D0AA0"/>
    <w:rsid w:val="009D200E"/>
    <w:rsid w:val="009D4F3D"/>
    <w:rsid w:val="009D5156"/>
    <w:rsid w:val="009D661C"/>
    <w:rsid w:val="009D6697"/>
    <w:rsid w:val="009D7DCC"/>
    <w:rsid w:val="009E224B"/>
    <w:rsid w:val="009E3204"/>
    <w:rsid w:val="009E35A1"/>
    <w:rsid w:val="009E3D0D"/>
    <w:rsid w:val="009E5585"/>
    <w:rsid w:val="009F07C2"/>
    <w:rsid w:val="009F07C3"/>
    <w:rsid w:val="009F3EEA"/>
    <w:rsid w:val="00A01C05"/>
    <w:rsid w:val="00A04FF0"/>
    <w:rsid w:val="00A0543B"/>
    <w:rsid w:val="00A06283"/>
    <w:rsid w:val="00A10042"/>
    <w:rsid w:val="00A10060"/>
    <w:rsid w:val="00A10AF8"/>
    <w:rsid w:val="00A16FB8"/>
    <w:rsid w:val="00A2233D"/>
    <w:rsid w:val="00A24BD5"/>
    <w:rsid w:val="00A2634D"/>
    <w:rsid w:val="00A270D2"/>
    <w:rsid w:val="00A275B1"/>
    <w:rsid w:val="00A276D2"/>
    <w:rsid w:val="00A31284"/>
    <w:rsid w:val="00A31EA9"/>
    <w:rsid w:val="00A33B0F"/>
    <w:rsid w:val="00A35E91"/>
    <w:rsid w:val="00A35F30"/>
    <w:rsid w:val="00A3694B"/>
    <w:rsid w:val="00A41C71"/>
    <w:rsid w:val="00A45275"/>
    <w:rsid w:val="00A453EA"/>
    <w:rsid w:val="00A459B8"/>
    <w:rsid w:val="00A468DA"/>
    <w:rsid w:val="00A46D0D"/>
    <w:rsid w:val="00A479BB"/>
    <w:rsid w:val="00A562B8"/>
    <w:rsid w:val="00A621C7"/>
    <w:rsid w:val="00A630E9"/>
    <w:rsid w:val="00A65F0D"/>
    <w:rsid w:val="00A66995"/>
    <w:rsid w:val="00A66A4D"/>
    <w:rsid w:val="00A708A5"/>
    <w:rsid w:val="00A809A6"/>
    <w:rsid w:val="00A8257A"/>
    <w:rsid w:val="00A827A6"/>
    <w:rsid w:val="00A84692"/>
    <w:rsid w:val="00A852FD"/>
    <w:rsid w:val="00A87ADA"/>
    <w:rsid w:val="00AA67BC"/>
    <w:rsid w:val="00AA7448"/>
    <w:rsid w:val="00AB0CAF"/>
    <w:rsid w:val="00AB1000"/>
    <w:rsid w:val="00AB1AEF"/>
    <w:rsid w:val="00AB2C0D"/>
    <w:rsid w:val="00AB3204"/>
    <w:rsid w:val="00AB39B9"/>
    <w:rsid w:val="00AB5043"/>
    <w:rsid w:val="00AB5A64"/>
    <w:rsid w:val="00AB64D0"/>
    <w:rsid w:val="00AB6B17"/>
    <w:rsid w:val="00AC1AE2"/>
    <w:rsid w:val="00AC4041"/>
    <w:rsid w:val="00AC45A1"/>
    <w:rsid w:val="00AC4908"/>
    <w:rsid w:val="00AD079C"/>
    <w:rsid w:val="00AD0C1C"/>
    <w:rsid w:val="00AD0E2C"/>
    <w:rsid w:val="00AD1C3B"/>
    <w:rsid w:val="00AD2B6F"/>
    <w:rsid w:val="00AD3FA0"/>
    <w:rsid w:val="00AD4B5A"/>
    <w:rsid w:val="00AD6172"/>
    <w:rsid w:val="00AE3AB9"/>
    <w:rsid w:val="00AE56EF"/>
    <w:rsid w:val="00AE6266"/>
    <w:rsid w:val="00AF003C"/>
    <w:rsid w:val="00AF0E97"/>
    <w:rsid w:val="00AF358F"/>
    <w:rsid w:val="00AF4556"/>
    <w:rsid w:val="00AF5310"/>
    <w:rsid w:val="00AF6D78"/>
    <w:rsid w:val="00AF78DD"/>
    <w:rsid w:val="00B00474"/>
    <w:rsid w:val="00B030CE"/>
    <w:rsid w:val="00B058E3"/>
    <w:rsid w:val="00B05E85"/>
    <w:rsid w:val="00B0631B"/>
    <w:rsid w:val="00B06FA4"/>
    <w:rsid w:val="00B07488"/>
    <w:rsid w:val="00B077CA"/>
    <w:rsid w:val="00B07BDA"/>
    <w:rsid w:val="00B118C0"/>
    <w:rsid w:val="00B12043"/>
    <w:rsid w:val="00B1222E"/>
    <w:rsid w:val="00B13057"/>
    <w:rsid w:val="00B14841"/>
    <w:rsid w:val="00B15D13"/>
    <w:rsid w:val="00B17FFD"/>
    <w:rsid w:val="00B20B91"/>
    <w:rsid w:val="00B21A63"/>
    <w:rsid w:val="00B2656D"/>
    <w:rsid w:val="00B30AE0"/>
    <w:rsid w:val="00B30FA6"/>
    <w:rsid w:val="00B33559"/>
    <w:rsid w:val="00B33AE2"/>
    <w:rsid w:val="00B3428F"/>
    <w:rsid w:val="00B35602"/>
    <w:rsid w:val="00B36F8A"/>
    <w:rsid w:val="00B372DE"/>
    <w:rsid w:val="00B421D0"/>
    <w:rsid w:val="00B43214"/>
    <w:rsid w:val="00B45461"/>
    <w:rsid w:val="00B455AC"/>
    <w:rsid w:val="00B45797"/>
    <w:rsid w:val="00B45A97"/>
    <w:rsid w:val="00B45EE7"/>
    <w:rsid w:val="00B46CB6"/>
    <w:rsid w:val="00B50C0C"/>
    <w:rsid w:val="00B5198F"/>
    <w:rsid w:val="00B5446F"/>
    <w:rsid w:val="00B546D1"/>
    <w:rsid w:val="00B550E4"/>
    <w:rsid w:val="00B55FAF"/>
    <w:rsid w:val="00B56B9A"/>
    <w:rsid w:val="00B61C34"/>
    <w:rsid w:val="00B63307"/>
    <w:rsid w:val="00B63A2A"/>
    <w:rsid w:val="00B65491"/>
    <w:rsid w:val="00B65FC6"/>
    <w:rsid w:val="00B704CB"/>
    <w:rsid w:val="00B71B2D"/>
    <w:rsid w:val="00B71CE1"/>
    <w:rsid w:val="00B7793D"/>
    <w:rsid w:val="00B83398"/>
    <w:rsid w:val="00B90050"/>
    <w:rsid w:val="00B91E62"/>
    <w:rsid w:val="00B958B8"/>
    <w:rsid w:val="00B95B26"/>
    <w:rsid w:val="00BA020F"/>
    <w:rsid w:val="00BA1245"/>
    <w:rsid w:val="00BA6362"/>
    <w:rsid w:val="00BB1C90"/>
    <w:rsid w:val="00BC3DD8"/>
    <w:rsid w:val="00BC4679"/>
    <w:rsid w:val="00BC4FA0"/>
    <w:rsid w:val="00BC6501"/>
    <w:rsid w:val="00BC66C8"/>
    <w:rsid w:val="00BC76E9"/>
    <w:rsid w:val="00BD0420"/>
    <w:rsid w:val="00BD171B"/>
    <w:rsid w:val="00BD1CEB"/>
    <w:rsid w:val="00BD3D8D"/>
    <w:rsid w:val="00BD5C3B"/>
    <w:rsid w:val="00BD6382"/>
    <w:rsid w:val="00BE1C2C"/>
    <w:rsid w:val="00BE40FC"/>
    <w:rsid w:val="00BE5B0B"/>
    <w:rsid w:val="00BE60C4"/>
    <w:rsid w:val="00BF092E"/>
    <w:rsid w:val="00BF3A28"/>
    <w:rsid w:val="00BF3FB3"/>
    <w:rsid w:val="00BF4129"/>
    <w:rsid w:val="00BF6922"/>
    <w:rsid w:val="00BF6C06"/>
    <w:rsid w:val="00BF6D25"/>
    <w:rsid w:val="00BF768B"/>
    <w:rsid w:val="00C01AD6"/>
    <w:rsid w:val="00C0300A"/>
    <w:rsid w:val="00C04D23"/>
    <w:rsid w:val="00C10C17"/>
    <w:rsid w:val="00C14F53"/>
    <w:rsid w:val="00C15B79"/>
    <w:rsid w:val="00C16ECC"/>
    <w:rsid w:val="00C1702C"/>
    <w:rsid w:val="00C17377"/>
    <w:rsid w:val="00C21957"/>
    <w:rsid w:val="00C24B10"/>
    <w:rsid w:val="00C32E7D"/>
    <w:rsid w:val="00C37B15"/>
    <w:rsid w:val="00C453AB"/>
    <w:rsid w:val="00C475FB"/>
    <w:rsid w:val="00C507CF"/>
    <w:rsid w:val="00C51238"/>
    <w:rsid w:val="00C5179D"/>
    <w:rsid w:val="00C52448"/>
    <w:rsid w:val="00C52924"/>
    <w:rsid w:val="00C52A54"/>
    <w:rsid w:val="00C52CA3"/>
    <w:rsid w:val="00C5702E"/>
    <w:rsid w:val="00C570ED"/>
    <w:rsid w:val="00C5767A"/>
    <w:rsid w:val="00C618CC"/>
    <w:rsid w:val="00C62053"/>
    <w:rsid w:val="00C62835"/>
    <w:rsid w:val="00C64392"/>
    <w:rsid w:val="00C65005"/>
    <w:rsid w:val="00C65AE3"/>
    <w:rsid w:val="00C71C29"/>
    <w:rsid w:val="00C74DC6"/>
    <w:rsid w:val="00C75DF8"/>
    <w:rsid w:val="00C81A61"/>
    <w:rsid w:val="00C82737"/>
    <w:rsid w:val="00C94372"/>
    <w:rsid w:val="00C94C15"/>
    <w:rsid w:val="00C9574B"/>
    <w:rsid w:val="00CA1413"/>
    <w:rsid w:val="00CA6085"/>
    <w:rsid w:val="00CA76A2"/>
    <w:rsid w:val="00CB2326"/>
    <w:rsid w:val="00CB26C3"/>
    <w:rsid w:val="00CB4075"/>
    <w:rsid w:val="00CB4C17"/>
    <w:rsid w:val="00CB641B"/>
    <w:rsid w:val="00CC2BC1"/>
    <w:rsid w:val="00CC36EB"/>
    <w:rsid w:val="00CC49DD"/>
    <w:rsid w:val="00CC5896"/>
    <w:rsid w:val="00CC6C59"/>
    <w:rsid w:val="00CC6C65"/>
    <w:rsid w:val="00CC743C"/>
    <w:rsid w:val="00CC796B"/>
    <w:rsid w:val="00CD326A"/>
    <w:rsid w:val="00CD36A2"/>
    <w:rsid w:val="00CD4B52"/>
    <w:rsid w:val="00CD557A"/>
    <w:rsid w:val="00CD789E"/>
    <w:rsid w:val="00CD7AD2"/>
    <w:rsid w:val="00CE019C"/>
    <w:rsid w:val="00CE30A6"/>
    <w:rsid w:val="00CE33AF"/>
    <w:rsid w:val="00CE36DC"/>
    <w:rsid w:val="00CE64E8"/>
    <w:rsid w:val="00CE6C23"/>
    <w:rsid w:val="00CE7204"/>
    <w:rsid w:val="00CE760F"/>
    <w:rsid w:val="00CE761E"/>
    <w:rsid w:val="00CE7BBE"/>
    <w:rsid w:val="00CF052F"/>
    <w:rsid w:val="00CF17B3"/>
    <w:rsid w:val="00CF42E9"/>
    <w:rsid w:val="00CF52ED"/>
    <w:rsid w:val="00CF62B8"/>
    <w:rsid w:val="00CF6451"/>
    <w:rsid w:val="00CF779E"/>
    <w:rsid w:val="00CF7916"/>
    <w:rsid w:val="00D00B05"/>
    <w:rsid w:val="00D01F6D"/>
    <w:rsid w:val="00D058A9"/>
    <w:rsid w:val="00D1209A"/>
    <w:rsid w:val="00D12A93"/>
    <w:rsid w:val="00D13052"/>
    <w:rsid w:val="00D146EC"/>
    <w:rsid w:val="00D2159B"/>
    <w:rsid w:val="00D2289B"/>
    <w:rsid w:val="00D2339D"/>
    <w:rsid w:val="00D24C17"/>
    <w:rsid w:val="00D26712"/>
    <w:rsid w:val="00D26C7B"/>
    <w:rsid w:val="00D30537"/>
    <w:rsid w:val="00D306EF"/>
    <w:rsid w:val="00D30A7D"/>
    <w:rsid w:val="00D30F21"/>
    <w:rsid w:val="00D33F9F"/>
    <w:rsid w:val="00D3467F"/>
    <w:rsid w:val="00D35522"/>
    <w:rsid w:val="00D365A0"/>
    <w:rsid w:val="00D40B2C"/>
    <w:rsid w:val="00D4258E"/>
    <w:rsid w:val="00D42CF6"/>
    <w:rsid w:val="00D45CFF"/>
    <w:rsid w:val="00D5122E"/>
    <w:rsid w:val="00D52E81"/>
    <w:rsid w:val="00D535E8"/>
    <w:rsid w:val="00D55AD0"/>
    <w:rsid w:val="00D62472"/>
    <w:rsid w:val="00D628F3"/>
    <w:rsid w:val="00D63EB3"/>
    <w:rsid w:val="00D640B9"/>
    <w:rsid w:val="00D670A5"/>
    <w:rsid w:val="00D72163"/>
    <w:rsid w:val="00D725D8"/>
    <w:rsid w:val="00D7349A"/>
    <w:rsid w:val="00D74A88"/>
    <w:rsid w:val="00D7694A"/>
    <w:rsid w:val="00D8435F"/>
    <w:rsid w:val="00D855D7"/>
    <w:rsid w:val="00D85A0A"/>
    <w:rsid w:val="00D87277"/>
    <w:rsid w:val="00D9135A"/>
    <w:rsid w:val="00D91F7E"/>
    <w:rsid w:val="00D931AD"/>
    <w:rsid w:val="00D95A03"/>
    <w:rsid w:val="00D97013"/>
    <w:rsid w:val="00D970AC"/>
    <w:rsid w:val="00D97955"/>
    <w:rsid w:val="00DA08C7"/>
    <w:rsid w:val="00DA30CE"/>
    <w:rsid w:val="00DA3A9C"/>
    <w:rsid w:val="00DA4642"/>
    <w:rsid w:val="00DA4FD6"/>
    <w:rsid w:val="00DA552F"/>
    <w:rsid w:val="00DA5D60"/>
    <w:rsid w:val="00DA6639"/>
    <w:rsid w:val="00DA6BBB"/>
    <w:rsid w:val="00DA6E81"/>
    <w:rsid w:val="00DB024A"/>
    <w:rsid w:val="00DB19E2"/>
    <w:rsid w:val="00DB256A"/>
    <w:rsid w:val="00DB2885"/>
    <w:rsid w:val="00DB28B9"/>
    <w:rsid w:val="00DB3328"/>
    <w:rsid w:val="00DB43F5"/>
    <w:rsid w:val="00DB6427"/>
    <w:rsid w:val="00DB6B43"/>
    <w:rsid w:val="00DC3811"/>
    <w:rsid w:val="00DC4E43"/>
    <w:rsid w:val="00DC5E29"/>
    <w:rsid w:val="00DC6136"/>
    <w:rsid w:val="00DD2BF2"/>
    <w:rsid w:val="00DD69A5"/>
    <w:rsid w:val="00DD766B"/>
    <w:rsid w:val="00DE15B2"/>
    <w:rsid w:val="00DE1F14"/>
    <w:rsid w:val="00DE2220"/>
    <w:rsid w:val="00DE297C"/>
    <w:rsid w:val="00DE2F62"/>
    <w:rsid w:val="00DE3EDA"/>
    <w:rsid w:val="00DE4F42"/>
    <w:rsid w:val="00DF23DA"/>
    <w:rsid w:val="00DF28D7"/>
    <w:rsid w:val="00DF2D9C"/>
    <w:rsid w:val="00DF35EE"/>
    <w:rsid w:val="00E00483"/>
    <w:rsid w:val="00E01688"/>
    <w:rsid w:val="00E0170A"/>
    <w:rsid w:val="00E0281B"/>
    <w:rsid w:val="00E06020"/>
    <w:rsid w:val="00E13F9F"/>
    <w:rsid w:val="00E1727E"/>
    <w:rsid w:val="00E175E9"/>
    <w:rsid w:val="00E177FC"/>
    <w:rsid w:val="00E21E3D"/>
    <w:rsid w:val="00E25E37"/>
    <w:rsid w:val="00E26131"/>
    <w:rsid w:val="00E30728"/>
    <w:rsid w:val="00E319B5"/>
    <w:rsid w:val="00E4267A"/>
    <w:rsid w:val="00E430BF"/>
    <w:rsid w:val="00E43DA0"/>
    <w:rsid w:val="00E45D9F"/>
    <w:rsid w:val="00E47C13"/>
    <w:rsid w:val="00E50D8C"/>
    <w:rsid w:val="00E542CC"/>
    <w:rsid w:val="00E54573"/>
    <w:rsid w:val="00E55307"/>
    <w:rsid w:val="00E55AA7"/>
    <w:rsid w:val="00E55ECA"/>
    <w:rsid w:val="00E57942"/>
    <w:rsid w:val="00E60FE4"/>
    <w:rsid w:val="00E63A5B"/>
    <w:rsid w:val="00E652CE"/>
    <w:rsid w:val="00E6600D"/>
    <w:rsid w:val="00E74B26"/>
    <w:rsid w:val="00E75D87"/>
    <w:rsid w:val="00E769F5"/>
    <w:rsid w:val="00E76E50"/>
    <w:rsid w:val="00E77FE3"/>
    <w:rsid w:val="00E85315"/>
    <w:rsid w:val="00E94789"/>
    <w:rsid w:val="00E95490"/>
    <w:rsid w:val="00EA1EEA"/>
    <w:rsid w:val="00EA23B7"/>
    <w:rsid w:val="00EA56D2"/>
    <w:rsid w:val="00EA6244"/>
    <w:rsid w:val="00EA7AC1"/>
    <w:rsid w:val="00EB27D3"/>
    <w:rsid w:val="00EB5E98"/>
    <w:rsid w:val="00EB69B5"/>
    <w:rsid w:val="00EB6F0F"/>
    <w:rsid w:val="00EB704E"/>
    <w:rsid w:val="00EB7785"/>
    <w:rsid w:val="00EC2ACA"/>
    <w:rsid w:val="00EC5262"/>
    <w:rsid w:val="00ED0F8F"/>
    <w:rsid w:val="00ED255B"/>
    <w:rsid w:val="00ED5BA7"/>
    <w:rsid w:val="00EE0D49"/>
    <w:rsid w:val="00EE1A93"/>
    <w:rsid w:val="00EE3782"/>
    <w:rsid w:val="00EE73B2"/>
    <w:rsid w:val="00EF26F2"/>
    <w:rsid w:val="00EF2FD6"/>
    <w:rsid w:val="00EF339E"/>
    <w:rsid w:val="00EF6447"/>
    <w:rsid w:val="00EF7312"/>
    <w:rsid w:val="00F023DF"/>
    <w:rsid w:val="00F02A55"/>
    <w:rsid w:val="00F063C3"/>
    <w:rsid w:val="00F111A7"/>
    <w:rsid w:val="00F121F2"/>
    <w:rsid w:val="00F13B20"/>
    <w:rsid w:val="00F146DB"/>
    <w:rsid w:val="00F17BCB"/>
    <w:rsid w:val="00F2317A"/>
    <w:rsid w:val="00F23625"/>
    <w:rsid w:val="00F23AC9"/>
    <w:rsid w:val="00F24A64"/>
    <w:rsid w:val="00F24E69"/>
    <w:rsid w:val="00F252A8"/>
    <w:rsid w:val="00F31154"/>
    <w:rsid w:val="00F31493"/>
    <w:rsid w:val="00F31A57"/>
    <w:rsid w:val="00F3212C"/>
    <w:rsid w:val="00F3388D"/>
    <w:rsid w:val="00F3515C"/>
    <w:rsid w:val="00F37E99"/>
    <w:rsid w:val="00F40544"/>
    <w:rsid w:val="00F46E7C"/>
    <w:rsid w:val="00F46F43"/>
    <w:rsid w:val="00F5152D"/>
    <w:rsid w:val="00F53B7A"/>
    <w:rsid w:val="00F5423D"/>
    <w:rsid w:val="00F55545"/>
    <w:rsid w:val="00F55EC1"/>
    <w:rsid w:val="00F57CF3"/>
    <w:rsid w:val="00F6205A"/>
    <w:rsid w:val="00F635A2"/>
    <w:rsid w:val="00F63B44"/>
    <w:rsid w:val="00F63EA7"/>
    <w:rsid w:val="00F6578B"/>
    <w:rsid w:val="00F66E26"/>
    <w:rsid w:val="00F678A2"/>
    <w:rsid w:val="00F74800"/>
    <w:rsid w:val="00F75FB9"/>
    <w:rsid w:val="00F7712A"/>
    <w:rsid w:val="00F80039"/>
    <w:rsid w:val="00F80471"/>
    <w:rsid w:val="00F83028"/>
    <w:rsid w:val="00F8454A"/>
    <w:rsid w:val="00F85340"/>
    <w:rsid w:val="00F860F6"/>
    <w:rsid w:val="00F879EB"/>
    <w:rsid w:val="00F9373F"/>
    <w:rsid w:val="00FA4DE6"/>
    <w:rsid w:val="00FA7FDF"/>
    <w:rsid w:val="00FB1259"/>
    <w:rsid w:val="00FB2B83"/>
    <w:rsid w:val="00FB2E4F"/>
    <w:rsid w:val="00FB3393"/>
    <w:rsid w:val="00FB46C6"/>
    <w:rsid w:val="00FB6A2B"/>
    <w:rsid w:val="00FB7721"/>
    <w:rsid w:val="00FC0882"/>
    <w:rsid w:val="00FC3F98"/>
    <w:rsid w:val="00FC4513"/>
    <w:rsid w:val="00FD1A16"/>
    <w:rsid w:val="00FD2964"/>
    <w:rsid w:val="00FD60AA"/>
    <w:rsid w:val="00FD73DE"/>
    <w:rsid w:val="00FE13FD"/>
    <w:rsid w:val="00FE7423"/>
    <w:rsid w:val="00FE7E68"/>
    <w:rsid w:val="00FF06A8"/>
    <w:rsid w:val="00FF3AD1"/>
    <w:rsid w:val="00FF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9740F-FA65-4DFA-A5BC-FD62B33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FDF"/>
    <w:pPr>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uiPriority w:val="99"/>
    <w:rsid w:val="00FA7FDF"/>
    <w:rPr>
      <w:rFonts w:ascii="Courier New" w:eastAsia="Times New Roman" w:hAnsi="Courier New" w:cs="Courier New"/>
      <w:sz w:val="24"/>
      <w:szCs w:val="24"/>
      <w:lang w:val="ru-RU" w:eastAsia="uk-UA"/>
    </w:rPr>
  </w:style>
  <w:style w:type="paragraph" w:styleId="a3">
    <w:name w:val="Body Text"/>
    <w:basedOn w:val="a"/>
    <w:link w:val="a4"/>
    <w:uiPriority w:val="99"/>
    <w:unhideWhenUsed/>
    <w:rsid w:val="00FA7FDF"/>
    <w:pPr>
      <w:spacing w:after="120"/>
    </w:pPr>
  </w:style>
  <w:style w:type="character" w:customStyle="1" w:styleId="a4">
    <w:name w:val="Основний текст Знак"/>
    <w:basedOn w:val="a0"/>
    <w:link w:val="a3"/>
    <w:uiPriority w:val="99"/>
    <w:rsid w:val="00FA7FDF"/>
    <w:rPr>
      <w:rFonts w:ascii="Times New Roman" w:eastAsia="Times New Roman" w:hAnsi="Times New Roman" w:cs="Times New Roman"/>
      <w:sz w:val="24"/>
      <w:szCs w:val="24"/>
      <w:lang w:val="ru-RU" w:eastAsia="uk-UA"/>
    </w:rPr>
  </w:style>
  <w:style w:type="paragraph" w:styleId="a5">
    <w:name w:val="Body Text Indent"/>
    <w:basedOn w:val="a"/>
    <w:link w:val="a6"/>
    <w:uiPriority w:val="99"/>
    <w:unhideWhenUsed/>
    <w:rsid w:val="00FA7FDF"/>
    <w:pPr>
      <w:spacing w:after="120"/>
      <w:ind w:left="283"/>
    </w:pPr>
  </w:style>
  <w:style w:type="character" w:customStyle="1" w:styleId="a6">
    <w:name w:val="Основний текст з відступом Знак"/>
    <w:basedOn w:val="a0"/>
    <w:link w:val="a5"/>
    <w:uiPriority w:val="99"/>
    <w:rsid w:val="00FA7FDF"/>
    <w:rPr>
      <w:rFonts w:ascii="Times New Roman" w:eastAsia="Times New Roman" w:hAnsi="Times New Roman" w:cs="Times New Roman"/>
      <w:sz w:val="24"/>
      <w:szCs w:val="24"/>
      <w:lang w:val="ru-RU" w:eastAsia="uk-UA"/>
    </w:rPr>
  </w:style>
  <w:style w:type="paragraph" w:styleId="2">
    <w:name w:val="Body Text 2"/>
    <w:basedOn w:val="a"/>
    <w:link w:val="20"/>
    <w:uiPriority w:val="99"/>
    <w:unhideWhenUsed/>
    <w:rsid w:val="00FA7FDF"/>
    <w:pPr>
      <w:ind w:right="1019"/>
      <w:jc w:val="both"/>
    </w:pPr>
    <w:rPr>
      <w:rFonts w:ascii="Peterburg" w:hAnsi="Peterburg" w:cs="Peterburg"/>
      <w:b/>
      <w:bCs/>
      <w:sz w:val="28"/>
      <w:szCs w:val="28"/>
    </w:rPr>
  </w:style>
  <w:style w:type="character" w:customStyle="1" w:styleId="20">
    <w:name w:val="Основний текст 2 Знак"/>
    <w:basedOn w:val="a0"/>
    <w:link w:val="2"/>
    <w:uiPriority w:val="99"/>
    <w:rsid w:val="00FA7FDF"/>
    <w:rPr>
      <w:rFonts w:ascii="Peterburg" w:eastAsia="Times New Roman" w:hAnsi="Peterburg" w:cs="Peterburg"/>
      <w:b/>
      <w:bCs/>
      <w:sz w:val="28"/>
      <w:szCs w:val="28"/>
      <w:lang w:val="ru-RU" w:eastAsia="uk-UA"/>
    </w:rPr>
  </w:style>
  <w:style w:type="paragraph" w:styleId="a7">
    <w:name w:val="Block Text"/>
    <w:basedOn w:val="a"/>
    <w:semiHidden/>
    <w:unhideWhenUsed/>
    <w:rsid w:val="00FA7FDF"/>
    <w:pPr>
      <w:autoSpaceDE/>
      <w:autoSpaceDN/>
      <w:adjustRightInd/>
      <w:spacing w:line="232" w:lineRule="auto"/>
      <w:ind w:left="180" w:right="781"/>
      <w:jc w:val="both"/>
    </w:pPr>
    <w:rPr>
      <w:rFonts w:ascii="Peterburg" w:hAnsi="Peterburg"/>
      <w:b/>
      <w:sz w:val="28"/>
      <w:szCs w:val="20"/>
      <w:lang w:eastAsia="ru-RU"/>
    </w:rPr>
  </w:style>
  <w:style w:type="paragraph" w:customStyle="1" w:styleId="p1">
    <w:name w:val="p1"/>
    <w:basedOn w:val="a"/>
    <w:rsid w:val="00FA7FDF"/>
    <w:pPr>
      <w:spacing w:before="100" w:after="100"/>
    </w:pPr>
    <w:rPr>
      <w:rFonts w:ascii="Arial" w:hAnsi="Arial" w:cs="Arial"/>
      <w:b/>
      <w:bCs/>
      <w:color w:val="000080"/>
    </w:rPr>
  </w:style>
  <w:style w:type="paragraph" w:customStyle="1" w:styleId="tit">
    <w:name w:val="tit"/>
    <w:basedOn w:val="a"/>
    <w:uiPriority w:val="99"/>
    <w:rsid w:val="00FA7FDF"/>
    <w:pPr>
      <w:spacing w:before="100" w:after="100"/>
    </w:pPr>
  </w:style>
  <w:style w:type="paragraph" w:customStyle="1" w:styleId="rvps2">
    <w:name w:val="rvps2"/>
    <w:basedOn w:val="a"/>
    <w:rsid w:val="00FA7FDF"/>
    <w:pPr>
      <w:spacing w:before="100" w:after="100"/>
    </w:pPr>
  </w:style>
  <w:style w:type="character" w:customStyle="1" w:styleId="s7d2086b4">
    <w:name w:val="s7d2086b4"/>
    <w:rsid w:val="00FA7FDF"/>
  </w:style>
  <w:style w:type="character" w:customStyle="1" w:styleId="rvts11">
    <w:name w:val="rvts11"/>
    <w:rsid w:val="00FA7FDF"/>
  </w:style>
  <w:style w:type="character" w:styleId="a8">
    <w:name w:val="Hyperlink"/>
    <w:basedOn w:val="a0"/>
    <w:uiPriority w:val="99"/>
    <w:semiHidden/>
    <w:unhideWhenUsed/>
    <w:rsid w:val="00751605"/>
    <w:rPr>
      <w:color w:val="0000FF"/>
      <w:u w:val="single"/>
    </w:rPr>
  </w:style>
  <w:style w:type="paragraph" w:styleId="a9">
    <w:name w:val="footnote text"/>
    <w:basedOn w:val="a"/>
    <w:link w:val="aa"/>
    <w:uiPriority w:val="99"/>
    <w:semiHidden/>
    <w:unhideWhenUsed/>
    <w:rsid w:val="00786030"/>
    <w:rPr>
      <w:sz w:val="20"/>
      <w:szCs w:val="20"/>
    </w:rPr>
  </w:style>
  <w:style w:type="character" w:customStyle="1" w:styleId="aa">
    <w:name w:val="Текст виноски Знак"/>
    <w:basedOn w:val="a0"/>
    <w:link w:val="a9"/>
    <w:uiPriority w:val="99"/>
    <w:semiHidden/>
    <w:rsid w:val="00786030"/>
    <w:rPr>
      <w:rFonts w:ascii="Times New Roman" w:eastAsia="Times New Roman" w:hAnsi="Times New Roman" w:cs="Times New Roman"/>
      <w:sz w:val="20"/>
      <w:szCs w:val="20"/>
      <w:lang w:val="uk-UA" w:eastAsia="uk-UA"/>
    </w:rPr>
  </w:style>
  <w:style w:type="character" w:styleId="ab">
    <w:name w:val="footnote reference"/>
    <w:basedOn w:val="a0"/>
    <w:uiPriority w:val="99"/>
    <w:semiHidden/>
    <w:unhideWhenUsed/>
    <w:rsid w:val="00786030"/>
    <w:rPr>
      <w:vertAlign w:val="superscript"/>
    </w:rPr>
  </w:style>
  <w:style w:type="paragraph" w:customStyle="1" w:styleId="1">
    <w:name w:val="Абзац списку1"/>
    <w:basedOn w:val="a"/>
    <w:rsid w:val="00296A67"/>
    <w:pPr>
      <w:autoSpaceDE/>
      <w:autoSpaceDN/>
      <w:adjustRightInd/>
      <w:spacing w:after="200" w:line="276" w:lineRule="auto"/>
      <w:ind w:left="720"/>
      <w:contextualSpacing/>
    </w:pPr>
    <w:rPr>
      <w:rFonts w:ascii="Calibri" w:hAnsi="Calibri"/>
      <w:sz w:val="22"/>
      <w:szCs w:val="22"/>
      <w:lang w:eastAsia="en-US"/>
    </w:rPr>
  </w:style>
  <w:style w:type="character" w:styleId="ac">
    <w:name w:val="Emphasis"/>
    <w:uiPriority w:val="20"/>
    <w:qFormat/>
    <w:rsid w:val="00B91E62"/>
    <w:rPr>
      <w:i/>
      <w:iCs/>
    </w:rPr>
  </w:style>
  <w:style w:type="paragraph" w:styleId="ad">
    <w:name w:val="Normal (Web)"/>
    <w:basedOn w:val="a"/>
    <w:uiPriority w:val="99"/>
    <w:unhideWhenUsed/>
    <w:rsid w:val="005F3EF2"/>
    <w:pPr>
      <w:autoSpaceDE/>
      <w:autoSpaceDN/>
      <w:adjustRightInd/>
      <w:spacing w:before="100" w:beforeAutospacing="1" w:after="100" w:afterAutospacing="1"/>
    </w:pPr>
  </w:style>
  <w:style w:type="paragraph" w:customStyle="1" w:styleId="pdq2pgselectionanchorcontainer">
    <w:name w:val="pdq2pg_selectionanchorcontainer"/>
    <w:basedOn w:val="a"/>
    <w:rsid w:val="008E7016"/>
    <w:pPr>
      <w:autoSpaceDE/>
      <w:autoSpaceDN/>
      <w:adjustRightInd/>
      <w:spacing w:before="100" w:beforeAutospacing="1" w:after="100" w:afterAutospacing="1"/>
    </w:pPr>
  </w:style>
  <w:style w:type="character" w:styleId="ae">
    <w:name w:val="Strong"/>
    <w:basedOn w:val="a0"/>
    <w:uiPriority w:val="22"/>
    <w:qFormat/>
    <w:rsid w:val="008E7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68348">
      <w:bodyDiv w:val="1"/>
      <w:marLeft w:val="0"/>
      <w:marRight w:val="0"/>
      <w:marTop w:val="0"/>
      <w:marBottom w:val="0"/>
      <w:divBdr>
        <w:top w:val="none" w:sz="0" w:space="0" w:color="auto"/>
        <w:left w:val="none" w:sz="0" w:space="0" w:color="auto"/>
        <w:bottom w:val="none" w:sz="0" w:space="0" w:color="auto"/>
        <w:right w:val="none" w:sz="0" w:space="0" w:color="auto"/>
      </w:divBdr>
    </w:div>
    <w:div w:id="286665700">
      <w:bodyDiv w:val="1"/>
      <w:marLeft w:val="0"/>
      <w:marRight w:val="0"/>
      <w:marTop w:val="0"/>
      <w:marBottom w:val="0"/>
      <w:divBdr>
        <w:top w:val="none" w:sz="0" w:space="0" w:color="auto"/>
        <w:left w:val="none" w:sz="0" w:space="0" w:color="auto"/>
        <w:bottom w:val="none" w:sz="0" w:space="0" w:color="auto"/>
        <w:right w:val="none" w:sz="0" w:space="0" w:color="auto"/>
      </w:divBdr>
    </w:div>
    <w:div w:id="435177645">
      <w:bodyDiv w:val="1"/>
      <w:marLeft w:val="0"/>
      <w:marRight w:val="0"/>
      <w:marTop w:val="0"/>
      <w:marBottom w:val="0"/>
      <w:divBdr>
        <w:top w:val="none" w:sz="0" w:space="0" w:color="auto"/>
        <w:left w:val="none" w:sz="0" w:space="0" w:color="auto"/>
        <w:bottom w:val="none" w:sz="0" w:space="0" w:color="auto"/>
        <w:right w:val="none" w:sz="0" w:space="0" w:color="auto"/>
      </w:divBdr>
    </w:div>
    <w:div w:id="654722595">
      <w:bodyDiv w:val="1"/>
      <w:marLeft w:val="0"/>
      <w:marRight w:val="0"/>
      <w:marTop w:val="0"/>
      <w:marBottom w:val="0"/>
      <w:divBdr>
        <w:top w:val="none" w:sz="0" w:space="0" w:color="auto"/>
        <w:left w:val="none" w:sz="0" w:space="0" w:color="auto"/>
        <w:bottom w:val="none" w:sz="0" w:space="0" w:color="auto"/>
        <w:right w:val="none" w:sz="0" w:space="0" w:color="auto"/>
      </w:divBdr>
    </w:div>
    <w:div w:id="694501438">
      <w:bodyDiv w:val="1"/>
      <w:marLeft w:val="0"/>
      <w:marRight w:val="0"/>
      <w:marTop w:val="0"/>
      <w:marBottom w:val="0"/>
      <w:divBdr>
        <w:top w:val="none" w:sz="0" w:space="0" w:color="auto"/>
        <w:left w:val="none" w:sz="0" w:space="0" w:color="auto"/>
        <w:bottom w:val="none" w:sz="0" w:space="0" w:color="auto"/>
        <w:right w:val="none" w:sz="0" w:space="0" w:color="auto"/>
      </w:divBdr>
    </w:div>
    <w:div w:id="959339846">
      <w:bodyDiv w:val="1"/>
      <w:marLeft w:val="0"/>
      <w:marRight w:val="0"/>
      <w:marTop w:val="0"/>
      <w:marBottom w:val="0"/>
      <w:divBdr>
        <w:top w:val="none" w:sz="0" w:space="0" w:color="auto"/>
        <w:left w:val="none" w:sz="0" w:space="0" w:color="auto"/>
        <w:bottom w:val="none" w:sz="0" w:space="0" w:color="auto"/>
        <w:right w:val="none" w:sz="0" w:space="0" w:color="auto"/>
      </w:divBdr>
    </w:div>
    <w:div w:id="1623608624">
      <w:bodyDiv w:val="1"/>
      <w:marLeft w:val="0"/>
      <w:marRight w:val="0"/>
      <w:marTop w:val="0"/>
      <w:marBottom w:val="0"/>
      <w:divBdr>
        <w:top w:val="none" w:sz="0" w:space="0" w:color="auto"/>
        <w:left w:val="none" w:sz="0" w:space="0" w:color="auto"/>
        <w:bottom w:val="none" w:sz="0" w:space="0" w:color="auto"/>
        <w:right w:val="none" w:sz="0" w:space="0" w:color="auto"/>
      </w:divBdr>
    </w:div>
    <w:div w:id="199734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FFC08-8C56-4622-8548-44053D74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4726</Words>
  <Characters>2695</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Світлана М. Решетник</cp:lastModifiedBy>
  <cp:revision>2</cp:revision>
  <dcterms:created xsi:type="dcterms:W3CDTF">2026-08-17T09:57:00Z</dcterms:created>
  <dcterms:modified xsi:type="dcterms:W3CDTF">2026-08-17T09:57:00Z</dcterms:modified>
</cp:coreProperties>
</file>