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C48" w:rsidRPr="00C470C6" w:rsidRDefault="00C34227" w:rsidP="00597C48">
      <w:pPr>
        <w:pStyle w:val="tit"/>
        <w:spacing w:before="0" w:after="0"/>
        <w:jc w:val="both"/>
        <w:rPr>
          <w:b/>
          <w:bCs/>
          <w:sz w:val="28"/>
          <w:szCs w:val="28"/>
          <w:lang w:val="en-GB"/>
        </w:rPr>
      </w:pPr>
      <w:bookmarkStart w:id="0" w:name="_GoBack"/>
      <w:bookmarkEnd w:id="0"/>
      <w:r>
        <w:rPr>
          <w:b/>
          <w:bCs/>
          <w:sz w:val="28"/>
          <w:szCs w:val="28"/>
          <w:lang w:val="en-GB"/>
        </w:rPr>
        <w:t>Summary to</w:t>
      </w:r>
      <w:r w:rsidR="00597C48" w:rsidRPr="00C470C6">
        <w:rPr>
          <w:b/>
          <w:bCs/>
          <w:sz w:val="28"/>
          <w:szCs w:val="28"/>
          <w:lang w:val="en-GB"/>
        </w:rPr>
        <w:t xml:space="preserve"> Decision of the Second Senate of the Constitutional Court of Ukraine No. 7-r(II)/2026 dated 15 July 2026 in the case upon the constitutional complaint of Yevhen Heniievskyi regarding the constitutionality Article 616.1.2 of the Criminal Procedure Code of Ukraine (on bail as an alternative to detention during martial law)</w:t>
      </w:r>
    </w:p>
    <w:p w:rsidR="00080087" w:rsidRDefault="00080087" w:rsidP="00131B09">
      <w:pPr>
        <w:pStyle w:val="isselectedend"/>
        <w:spacing w:before="0" w:beforeAutospacing="0" w:after="0" w:afterAutospacing="0"/>
        <w:ind w:firstLine="567"/>
        <w:jc w:val="both"/>
        <w:rPr>
          <w:sz w:val="28"/>
          <w:szCs w:val="28"/>
          <w:lang w:val="en-GB"/>
        </w:rPr>
      </w:pPr>
    </w:p>
    <w:p w:rsidR="00131B09" w:rsidRPr="00C470C6" w:rsidRDefault="00131B09" w:rsidP="00131B09">
      <w:pPr>
        <w:pStyle w:val="isselectedend"/>
        <w:spacing w:before="0" w:beforeAutospacing="0" w:after="0" w:afterAutospacing="0"/>
        <w:ind w:firstLine="567"/>
        <w:jc w:val="both"/>
        <w:rPr>
          <w:sz w:val="28"/>
          <w:szCs w:val="28"/>
          <w:lang w:val="en-GB"/>
        </w:rPr>
      </w:pPr>
      <w:r w:rsidRPr="00C470C6">
        <w:rPr>
          <w:sz w:val="28"/>
          <w:szCs w:val="28"/>
          <w:lang w:val="en-GB"/>
        </w:rPr>
        <w:t>Yevhen Heniievskyi app</w:t>
      </w:r>
      <w:r w:rsidR="002A6830" w:rsidRPr="00C470C6">
        <w:rPr>
          <w:sz w:val="28"/>
          <w:szCs w:val="28"/>
          <w:lang w:val="en-GB"/>
        </w:rPr>
        <w:t>ealed</w:t>
      </w:r>
      <w:r w:rsidRPr="00C470C6">
        <w:rPr>
          <w:sz w:val="28"/>
          <w:szCs w:val="28"/>
          <w:lang w:val="en-GB"/>
        </w:rPr>
        <w:t xml:space="preserve"> to the Constitutional Court to declare Article</w:t>
      </w:r>
      <w:r w:rsidR="002A6830" w:rsidRPr="00C470C6">
        <w:rPr>
          <w:sz w:val="28"/>
          <w:szCs w:val="28"/>
          <w:lang w:val="en-GB"/>
        </w:rPr>
        <w:t> </w:t>
      </w:r>
      <w:r w:rsidRPr="00C470C6">
        <w:rPr>
          <w:sz w:val="28"/>
          <w:szCs w:val="28"/>
          <w:lang w:val="en-GB"/>
        </w:rPr>
        <w:t>616.1</w:t>
      </w:r>
      <w:r w:rsidR="002A6830" w:rsidRPr="00C470C6">
        <w:rPr>
          <w:sz w:val="28"/>
          <w:szCs w:val="28"/>
          <w:lang w:val="en-GB"/>
        </w:rPr>
        <w:t>.2</w:t>
      </w:r>
      <w:r w:rsidRPr="00C470C6">
        <w:rPr>
          <w:sz w:val="28"/>
          <w:szCs w:val="28"/>
          <w:lang w:val="en-GB"/>
        </w:rPr>
        <w:t xml:space="preserve"> of the Criminal Procedure Code (hereinafter</w:t>
      </w:r>
      <w:r w:rsidR="002A6830" w:rsidRPr="00C470C6">
        <w:rPr>
          <w:sz w:val="28"/>
          <w:szCs w:val="28"/>
          <w:lang w:val="en-GB"/>
        </w:rPr>
        <w:t>,</w:t>
      </w:r>
      <w:r w:rsidRPr="00C470C6">
        <w:rPr>
          <w:sz w:val="28"/>
          <w:szCs w:val="28"/>
          <w:lang w:val="en-GB"/>
        </w:rPr>
        <w:t xml:space="preserve"> the </w:t>
      </w:r>
      <w:r w:rsidR="002A6830" w:rsidRPr="00C470C6">
        <w:rPr>
          <w:sz w:val="28"/>
          <w:szCs w:val="28"/>
          <w:lang w:val="en-GB"/>
        </w:rPr>
        <w:t>“</w:t>
      </w:r>
      <w:r w:rsidRPr="00C470C6">
        <w:rPr>
          <w:sz w:val="28"/>
          <w:szCs w:val="28"/>
          <w:lang w:val="en-GB"/>
        </w:rPr>
        <w:t>Code</w:t>
      </w:r>
      <w:r w:rsidR="002A6830" w:rsidRPr="00C470C6">
        <w:rPr>
          <w:sz w:val="28"/>
          <w:szCs w:val="28"/>
          <w:lang w:val="en-GB"/>
        </w:rPr>
        <w:t>”</w:t>
      </w:r>
      <w:r w:rsidRPr="00C470C6">
        <w:rPr>
          <w:sz w:val="28"/>
          <w:szCs w:val="28"/>
          <w:lang w:val="en-GB"/>
        </w:rPr>
        <w:t>) inconsistent with Articles 8.2, 8.3, 22.2, 55.1, 55.2, 129.1, 129.2</w:t>
      </w:r>
      <w:r w:rsidR="002A6830" w:rsidRPr="00C470C6">
        <w:rPr>
          <w:sz w:val="28"/>
          <w:szCs w:val="28"/>
          <w:lang w:val="en-GB"/>
        </w:rPr>
        <w:t>.1, 129.2.3</w:t>
      </w:r>
      <w:r w:rsidRPr="00C470C6">
        <w:rPr>
          <w:sz w:val="28"/>
          <w:szCs w:val="28"/>
          <w:lang w:val="en-GB"/>
        </w:rPr>
        <w:t xml:space="preserve"> of the Constitution (unconstitutional).</w:t>
      </w:r>
    </w:p>
    <w:p w:rsidR="00131B09" w:rsidRPr="00C470C6" w:rsidRDefault="00131B09" w:rsidP="00131B09">
      <w:pPr>
        <w:pStyle w:val="isselectedend"/>
        <w:spacing w:before="0" w:beforeAutospacing="0" w:after="0" w:afterAutospacing="0"/>
        <w:ind w:firstLine="567"/>
        <w:jc w:val="both"/>
        <w:rPr>
          <w:sz w:val="28"/>
          <w:szCs w:val="28"/>
          <w:lang w:val="en-GB"/>
        </w:rPr>
      </w:pPr>
      <w:r w:rsidRPr="00C470C6">
        <w:rPr>
          <w:sz w:val="28"/>
          <w:szCs w:val="28"/>
          <w:lang w:val="en-GB"/>
        </w:rPr>
        <w:t>According to the provisions of Article 616.1 of the Code, in the event of the imposition of martial law, the implementation of measures to ensure national security and defence, repulse and deter the armed aggression of the Russian Federation and/or other states against Ukraine, a suspect or accused person who, during the pre-trial investigation or trial, is held in custody, except for those suspected or accused of committing certain types of crimes, as well as a suspect or accused person who, in accordance with paragraph 3</w:t>
      </w:r>
      <w:r w:rsidR="002A6830" w:rsidRPr="00C470C6">
        <w:rPr>
          <w:sz w:val="28"/>
          <w:szCs w:val="28"/>
          <w:lang w:val="en-GB"/>
        </w:rPr>
        <w:t>.1</w:t>
      </w:r>
      <w:r w:rsidRPr="00C470C6">
        <w:rPr>
          <w:sz w:val="28"/>
          <w:szCs w:val="28"/>
          <w:lang w:val="en-GB"/>
        </w:rPr>
        <w:t xml:space="preserve"> of the Note to Article 368 of the Criminal Code, held a particularly responsible position at the time of committing the criminal offence, has the right to apply to a prosecutor with a request to initiate before an investigating judge or a court the issue of cancelling this preventive measure for the purpose of continuing and/or undergoing military service upon mobilisation, for a special period and/or military service under a contract by enlisted, non-commissioned, senior non-commissioned and officer personnel. In turn, following consideration of the request, the prosecutor has the right to apply to the investigating judge or the court hearing the criminal proceedings with a request to cancel the preventive measure in the form of detention in respect of that person.</w:t>
      </w:r>
    </w:p>
    <w:p w:rsidR="00131B09" w:rsidRPr="00C470C6" w:rsidRDefault="00131B09" w:rsidP="00131B09">
      <w:pPr>
        <w:pStyle w:val="isselectedend"/>
        <w:spacing w:before="0" w:beforeAutospacing="0" w:after="0" w:afterAutospacing="0"/>
        <w:ind w:firstLine="567"/>
        <w:jc w:val="both"/>
        <w:rPr>
          <w:sz w:val="28"/>
          <w:szCs w:val="28"/>
          <w:lang w:val="en-GB"/>
        </w:rPr>
      </w:pPr>
      <w:r w:rsidRPr="00C470C6">
        <w:rPr>
          <w:sz w:val="28"/>
          <w:szCs w:val="28"/>
          <w:lang w:val="en-GB"/>
        </w:rPr>
        <w:t>The Constitutional Court concludes that it follows from the content of the constitutional guarantees of personal liberty enshrined in Article 29 of the Constitution, in conjunction with the provisions of Articles 55, 63.2 and 129.2 of the Basic Law, that a person in respect of whom the preventive measure in the form of detention has been applied has the right to initiate a new judicial examination of the issue of its modification or cancellation, in particular where any conditions or circumstances that may affect the outcome of a new determination of this issue have changed.</w:t>
      </w:r>
    </w:p>
    <w:p w:rsidR="00131B09" w:rsidRPr="00C470C6" w:rsidRDefault="00131B09" w:rsidP="00131B09">
      <w:pPr>
        <w:pStyle w:val="isselectedend"/>
        <w:spacing w:before="0" w:beforeAutospacing="0" w:after="0" w:afterAutospacing="0"/>
        <w:ind w:firstLine="567"/>
        <w:jc w:val="both"/>
        <w:rPr>
          <w:sz w:val="28"/>
          <w:szCs w:val="28"/>
          <w:lang w:val="en-GB"/>
        </w:rPr>
      </w:pPr>
      <w:r w:rsidRPr="00C470C6">
        <w:rPr>
          <w:sz w:val="28"/>
          <w:szCs w:val="28"/>
          <w:lang w:val="en-GB"/>
        </w:rPr>
        <w:t>The legislator has assigned the initiation of the application of preventive measures to the procedural competence of the prosecution. Such initiation is carried out by submitting a relevant request by an investigator, approved by a prosecutor, or directly by a prosecutor. The submission of such a request is an independent procedural action of the prosecution, which does not require the prior consent of the suspect, accused or their defence counsel and is not within the sphere of their procedural control.</w:t>
      </w:r>
    </w:p>
    <w:p w:rsidR="00131B09" w:rsidRPr="00C470C6" w:rsidRDefault="00131B09" w:rsidP="00131B09">
      <w:pPr>
        <w:pStyle w:val="isselectedend"/>
        <w:spacing w:before="0" w:beforeAutospacing="0" w:after="0" w:afterAutospacing="0"/>
        <w:ind w:firstLine="567"/>
        <w:jc w:val="both"/>
        <w:rPr>
          <w:sz w:val="28"/>
          <w:szCs w:val="28"/>
          <w:lang w:val="en-GB"/>
        </w:rPr>
      </w:pPr>
      <w:r w:rsidRPr="00C470C6">
        <w:rPr>
          <w:sz w:val="28"/>
          <w:szCs w:val="28"/>
          <w:lang w:val="en-GB"/>
        </w:rPr>
        <w:t xml:space="preserve">The legislator has established a model of legal regulation of the application of the preventive measure in the form of detention, under which the initiation of the application and extension of such preventive measure is carried out by an investigating </w:t>
      </w:r>
      <w:r w:rsidRPr="00C470C6">
        <w:rPr>
          <w:sz w:val="28"/>
          <w:szCs w:val="28"/>
          <w:lang w:val="en-GB"/>
        </w:rPr>
        <w:lastRenderedPageBreak/>
        <w:t>judge or a court and is connected with procedural activity of the prosecution independent of the defence; whereas the replacement of the preventive measure in the form of detention by an investigating judge or a court may, as a general rule, be initiated independently by both the prosecution and the defence. However, in the case provided for, in particular, by Article 616.1</w:t>
      </w:r>
      <w:r w:rsidR="002A6830" w:rsidRPr="00C470C6">
        <w:rPr>
          <w:sz w:val="28"/>
          <w:szCs w:val="28"/>
          <w:lang w:val="en-GB"/>
        </w:rPr>
        <w:t>.2</w:t>
      </w:r>
      <w:r w:rsidRPr="00C470C6">
        <w:rPr>
          <w:sz w:val="28"/>
          <w:szCs w:val="28"/>
          <w:lang w:val="en-GB"/>
        </w:rPr>
        <w:t xml:space="preserve"> of the Code in conjunction with Article 616.1</w:t>
      </w:r>
      <w:r w:rsidR="002A6830" w:rsidRPr="00C470C6">
        <w:rPr>
          <w:sz w:val="28"/>
          <w:szCs w:val="28"/>
          <w:lang w:val="en-GB"/>
        </w:rPr>
        <w:t>.1</w:t>
      </w:r>
      <w:r w:rsidRPr="00C470C6">
        <w:rPr>
          <w:sz w:val="28"/>
          <w:szCs w:val="28"/>
          <w:lang w:val="en-GB"/>
        </w:rPr>
        <w:t xml:space="preserve"> of the Code, the initiative of the defence is insufficient for the relevant issue to be considered by an investigating judge or a court, and the active participation of the prosecution is required.</w:t>
      </w:r>
    </w:p>
    <w:p w:rsidR="00131B09" w:rsidRPr="00C470C6" w:rsidRDefault="00131B09" w:rsidP="00131B09">
      <w:pPr>
        <w:pStyle w:val="isselectedend"/>
        <w:spacing w:before="0" w:beforeAutospacing="0" w:after="0" w:afterAutospacing="0"/>
        <w:ind w:firstLine="567"/>
        <w:jc w:val="both"/>
        <w:rPr>
          <w:sz w:val="28"/>
          <w:szCs w:val="28"/>
          <w:lang w:val="en-GB"/>
        </w:rPr>
      </w:pPr>
      <w:r w:rsidRPr="00C470C6">
        <w:rPr>
          <w:sz w:val="28"/>
          <w:szCs w:val="28"/>
          <w:lang w:val="en-GB"/>
        </w:rPr>
        <w:t>The introduction of special procedural mechanisms in the field of criminal proceedings, necessitated by the objective needs of the State, in particular those related to ensuring its defence capability, is not permissible if it results in the establishment of mechanisms for carrying out the tasks of criminal proceedings that go beyond the constitutional model of justice or nullify the constitutional guarantees of human rights and the principle of the rule of law.</w:t>
      </w:r>
    </w:p>
    <w:p w:rsidR="00131B09" w:rsidRPr="00C470C6" w:rsidRDefault="00131B09" w:rsidP="00131B09">
      <w:pPr>
        <w:pStyle w:val="isselectedend"/>
        <w:spacing w:before="0" w:beforeAutospacing="0" w:after="0" w:afterAutospacing="0"/>
        <w:ind w:firstLine="567"/>
        <w:jc w:val="both"/>
        <w:rPr>
          <w:sz w:val="28"/>
          <w:szCs w:val="28"/>
          <w:lang w:val="en-GB"/>
        </w:rPr>
      </w:pPr>
      <w:r w:rsidRPr="00C470C6">
        <w:rPr>
          <w:sz w:val="28"/>
          <w:szCs w:val="28"/>
          <w:lang w:val="en-GB"/>
        </w:rPr>
        <w:t>The Constitutional Court notes that although the cancellation of the preventive measure in the form of detention established by Article 616 of the Code for the purpose of continuing and/or undergoing military service is connected with the obligations of the suspect or accused regarding their future conduct, namely their military service, which objectively entails the establishment of restrictions on rights and freedoms prescribed by law, this does not change the procedural and legal nature of such cancellation. Its key procedural consequences are determined by the general conditions for cancellation of this preventive measure, which results in the cessation of interference with the person's right to liberty and security of person within the meaning of Article 29 of the Constitution through their detention; whereas military service following the cancellation of such preventive measure constitutes the fulfilment by the person of their constitutional duty provided for by Article 65 of the Constitution of Ukraine.</w:t>
      </w:r>
    </w:p>
    <w:p w:rsidR="00131B09" w:rsidRPr="00C470C6" w:rsidRDefault="00131B09" w:rsidP="00131B09">
      <w:pPr>
        <w:pStyle w:val="isselectedend"/>
        <w:spacing w:before="0" w:beforeAutospacing="0" w:after="0" w:afterAutospacing="0"/>
        <w:ind w:firstLine="567"/>
        <w:jc w:val="both"/>
        <w:rPr>
          <w:sz w:val="28"/>
          <w:szCs w:val="28"/>
          <w:lang w:val="en-GB"/>
        </w:rPr>
      </w:pPr>
      <w:r w:rsidRPr="00C470C6">
        <w:rPr>
          <w:sz w:val="28"/>
          <w:szCs w:val="28"/>
          <w:lang w:val="en-GB"/>
        </w:rPr>
        <w:t>The Constitutional Court emphasises that the provisions of Articles 29, 55, 124.1, 124.2 and 124.3, 127.1 of the Constitution, in particular in the aspect of Article 5</w:t>
      </w:r>
      <w:r w:rsidR="002A6830" w:rsidRPr="00C470C6">
        <w:rPr>
          <w:sz w:val="28"/>
          <w:szCs w:val="28"/>
          <w:lang w:val="en-GB"/>
        </w:rPr>
        <w:t>.4</w:t>
      </w:r>
      <w:r w:rsidRPr="00C470C6">
        <w:rPr>
          <w:sz w:val="28"/>
          <w:szCs w:val="28"/>
          <w:lang w:val="en-GB"/>
        </w:rPr>
        <w:t xml:space="preserve"> of the Convention and the case-law of the European Court of Human Rights concerning its application, cannot under any circumstances be interpreted as permitting judicial control over interference with a person's right to liberty and security of person to be replaced by control by a prosecutor or another official, even in the event of the introduction of a special mechanism for releasing a person from custody. This also precludes conferring on bodies or officials that are not courts and act as parties to adversarial criminal proceedings powers whose exercise in fact determines or blocks the suspect's or accused's access to a court on a matter concerning their liberty.</w:t>
      </w:r>
    </w:p>
    <w:p w:rsidR="00131B09" w:rsidRPr="00C470C6" w:rsidRDefault="00131B09" w:rsidP="00131B09">
      <w:pPr>
        <w:pStyle w:val="isselectedend"/>
        <w:spacing w:before="0" w:beforeAutospacing="0" w:after="0" w:afterAutospacing="0"/>
        <w:ind w:firstLine="567"/>
        <w:jc w:val="both"/>
        <w:rPr>
          <w:sz w:val="28"/>
          <w:szCs w:val="28"/>
          <w:lang w:val="en-GB"/>
        </w:rPr>
      </w:pPr>
      <w:r w:rsidRPr="00C470C6">
        <w:rPr>
          <w:sz w:val="28"/>
          <w:szCs w:val="28"/>
          <w:lang w:val="en-GB"/>
        </w:rPr>
        <w:t xml:space="preserve">The prosecutor's refusal to support the request of the suspect or accused by submitting a request to an investigating judge or a court results in the fact that, where the suspect or accused applies directly to an investigating judge or a court with such a request, the latter do not consider the request on the merits of the claims made therein, and base the refusal to grant it on the applicant's lack of proper standing to apply to the </w:t>
      </w:r>
      <w:r w:rsidRPr="00C470C6">
        <w:rPr>
          <w:sz w:val="28"/>
          <w:szCs w:val="28"/>
          <w:lang w:val="en-GB"/>
        </w:rPr>
        <w:lastRenderedPageBreak/>
        <w:t>investigating judge or court. Under the Code, such refusal by the prosecutor is not subject to review by an investigating judge or a court.</w:t>
      </w:r>
    </w:p>
    <w:p w:rsidR="00131B09" w:rsidRPr="00C470C6" w:rsidRDefault="00131B09" w:rsidP="00131B09">
      <w:pPr>
        <w:pStyle w:val="isselectedend"/>
        <w:spacing w:before="0" w:beforeAutospacing="0" w:after="0" w:afterAutospacing="0"/>
        <w:ind w:firstLine="567"/>
        <w:jc w:val="both"/>
        <w:rPr>
          <w:sz w:val="28"/>
          <w:szCs w:val="28"/>
          <w:lang w:val="en-GB"/>
        </w:rPr>
      </w:pPr>
      <w:r w:rsidRPr="00C470C6">
        <w:rPr>
          <w:sz w:val="28"/>
          <w:szCs w:val="28"/>
          <w:lang w:val="en-GB"/>
        </w:rPr>
        <w:t>The Constitutional Court considers that although the procedure for consideration by an investigating judge or a court of a prosecutor's request submitted in accordance with the procedure established by Article 616.1</w:t>
      </w:r>
      <w:r w:rsidR="002A6830" w:rsidRPr="00C470C6">
        <w:rPr>
          <w:sz w:val="28"/>
          <w:szCs w:val="28"/>
          <w:lang w:val="en-GB"/>
        </w:rPr>
        <w:t>.2</w:t>
      </w:r>
      <w:r w:rsidRPr="00C470C6">
        <w:rPr>
          <w:sz w:val="28"/>
          <w:szCs w:val="28"/>
          <w:lang w:val="en-GB"/>
        </w:rPr>
        <w:t xml:space="preserve"> of the Code does not formally change, the mechanism whereby it is the prosecutor, rather than the defence, who applies to the court results in a change in the prosecutor's procedural role. In such a case, by supporting before the court the request that they themselves have submitted, the prosecutor in fact acts not as the prosecution but as a party interested in its granting, which by its procedural nature is atypical for the prosecution and characteristic of the defence.</w:t>
      </w:r>
    </w:p>
    <w:p w:rsidR="00131B09" w:rsidRPr="00C470C6" w:rsidRDefault="00131B09" w:rsidP="00131B09">
      <w:pPr>
        <w:pStyle w:val="isselectedend"/>
        <w:spacing w:before="0" w:beforeAutospacing="0" w:after="0" w:afterAutospacing="0"/>
        <w:ind w:firstLine="567"/>
        <w:jc w:val="both"/>
        <w:rPr>
          <w:sz w:val="28"/>
          <w:szCs w:val="28"/>
          <w:lang w:val="en-GB"/>
        </w:rPr>
      </w:pPr>
      <w:r w:rsidRPr="00C470C6">
        <w:rPr>
          <w:sz w:val="28"/>
          <w:szCs w:val="28"/>
          <w:lang w:val="en-GB"/>
        </w:rPr>
        <w:t>Endowing a prosecutor who performs the function of prosecution with procedural powers, the exercise of which makes the possibility of judicial consideration on the merits of a request by a suspect or accused for release from custody for the purpose of continuing and/or undergoing military service dependent on the prosecutor's will, as well as with powers characteristic of the defence, is inconsistent with the constitutional purpose of the prosecution defined by Article 131</w:t>
      </w:r>
      <w:r w:rsidR="002A6830" w:rsidRPr="00C470C6">
        <w:rPr>
          <w:sz w:val="28"/>
          <w:szCs w:val="28"/>
          <w:lang w:val="en-GB"/>
        </w:rPr>
        <w:t>¹</w:t>
      </w:r>
      <w:r w:rsidRPr="00C470C6">
        <w:rPr>
          <w:sz w:val="28"/>
          <w:szCs w:val="28"/>
          <w:lang w:val="en-GB"/>
        </w:rPr>
        <w:t xml:space="preserve"> of the Constitution. As a result, there is also a risk of mixing the procedural functions of the parties and the court, which, in turn, may negatively affect compliance with such fundamental principles of judicial proceedings as adversarial proceedings and equality of participants in judicial proceedings before the law and the court, as well as cast doubt on the impartiality of the court and affect the exercise of a person's right to judicial protection.</w:t>
      </w:r>
    </w:p>
    <w:p w:rsidR="00131B09" w:rsidRPr="00C470C6" w:rsidRDefault="00131B09" w:rsidP="00131B09">
      <w:pPr>
        <w:pStyle w:val="isselectedend"/>
        <w:spacing w:before="0" w:beforeAutospacing="0" w:after="0" w:afterAutospacing="0"/>
        <w:ind w:firstLine="567"/>
        <w:jc w:val="both"/>
        <w:rPr>
          <w:sz w:val="28"/>
          <w:szCs w:val="28"/>
          <w:lang w:val="en-GB"/>
        </w:rPr>
      </w:pPr>
      <w:r w:rsidRPr="00C470C6">
        <w:rPr>
          <w:sz w:val="28"/>
          <w:szCs w:val="28"/>
          <w:lang w:val="en-GB"/>
        </w:rPr>
        <w:t>The Constitutional Court notes that the procedural mechanism established in Article 616.1</w:t>
      </w:r>
      <w:r w:rsidR="00856C79" w:rsidRPr="00C470C6">
        <w:rPr>
          <w:sz w:val="28"/>
          <w:szCs w:val="28"/>
          <w:lang w:val="en-GB"/>
        </w:rPr>
        <w:t>.2</w:t>
      </w:r>
      <w:r w:rsidRPr="00C470C6">
        <w:rPr>
          <w:sz w:val="28"/>
          <w:szCs w:val="28"/>
          <w:lang w:val="en-GB"/>
        </w:rPr>
        <w:t xml:space="preserve"> of the Code in conjunction with Article 616</w:t>
      </w:r>
      <w:r w:rsidR="00856C79" w:rsidRPr="00C470C6">
        <w:rPr>
          <w:sz w:val="28"/>
          <w:szCs w:val="28"/>
          <w:lang w:val="en-GB"/>
        </w:rPr>
        <w:t>.1</w:t>
      </w:r>
      <w:r w:rsidRPr="00C470C6">
        <w:rPr>
          <w:sz w:val="28"/>
          <w:szCs w:val="28"/>
          <w:lang w:val="en-GB"/>
        </w:rPr>
        <w:t xml:space="preserve"> of the Code, under which the possibility of judicial consideration of the issue of cancelling, in respect of a suspect or accused, the preventive measure in the form of detention for the purpose of continuing and/or undergoing military service is made dependent on the initiative of the prosecutor, substantially restricts the real and effective access of the suspect or accused to judicial control over continued deprivation of liberty and thereby permits interference with the content of the rights guaranteed by Articles 29, 55 and 63 of the Constitution in conjunction with Article</w:t>
      </w:r>
      <w:r w:rsidR="00856C79" w:rsidRPr="00C470C6">
        <w:rPr>
          <w:sz w:val="28"/>
          <w:szCs w:val="28"/>
          <w:lang w:val="en-GB"/>
        </w:rPr>
        <w:t>s</w:t>
      </w:r>
      <w:r w:rsidRPr="00C470C6">
        <w:rPr>
          <w:sz w:val="28"/>
          <w:szCs w:val="28"/>
          <w:lang w:val="en-GB"/>
        </w:rPr>
        <w:t xml:space="preserve"> 129.2</w:t>
      </w:r>
      <w:r w:rsidR="00856C79" w:rsidRPr="00C470C6">
        <w:rPr>
          <w:sz w:val="28"/>
          <w:szCs w:val="28"/>
          <w:lang w:val="en-GB"/>
        </w:rPr>
        <w:t>.1, 129.2.3, 129.2.5</w:t>
      </w:r>
      <w:r w:rsidRPr="00C470C6">
        <w:rPr>
          <w:sz w:val="28"/>
          <w:szCs w:val="28"/>
          <w:lang w:val="en-GB"/>
        </w:rPr>
        <w:t xml:space="preserve"> of the Constitution.</w:t>
      </w:r>
    </w:p>
    <w:p w:rsidR="00131B09" w:rsidRPr="00C470C6" w:rsidRDefault="00131B09" w:rsidP="00131B09">
      <w:pPr>
        <w:pStyle w:val="isselectedend"/>
        <w:spacing w:before="0" w:beforeAutospacing="0" w:after="0" w:afterAutospacing="0"/>
        <w:ind w:firstLine="567"/>
        <w:jc w:val="both"/>
        <w:rPr>
          <w:sz w:val="28"/>
          <w:szCs w:val="28"/>
          <w:lang w:val="en-GB"/>
        </w:rPr>
      </w:pPr>
      <w:r w:rsidRPr="00C470C6">
        <w:rPr>
          <w:sz w:val="28"/>
          <w:szCs w:val="28"/>
          <w:lang w:val="en-GB"/>
        </w:rPr>
        <w:t>The Constitutional Court draws attention to the fact that control over the execution of a decision of an investigating judge or a court releasing a suspect or accused from custody for the purpose of continuing and/or undergoing military service may also be ensured without establishing a barrier to the suspect's or accused's access to a court in the form of the exclusive initiative of the prosecution – by granting the suspect or accused the right to apply directly to a court with the relevant request and with the mandatory involvement of the prosecutor in its consideration by an investigating judge or a court.</w:t>
      </w:r>
    </w:p>
    <w:p w:rsidR="00131B09" w:rsidRPr="00C470C6" w:rsidRDefault="00131B09" w:rsidP="00131B09">
      <w:pPr>
        <w:pStyle w:val="isselectedend"/>
        <w:spacing w:before="0" w:beforeAutospacing="0" w:after="0" w:afterAutospacing="0"/>
        <w:ind w:firstLine="567"/>
        <w:jc w:val="both"/>
        <w:rPr>
          <w:sz w:val="28"/>
          <w:szCs w:val="28"/>
          <w:lang w:val="en-GB"/>
        </w:rPr>
      </w:pPr>
      <w:r w:rsidRPr="00C470C6">
        <w:rPr>
          <w:sz w:val="28"/>
          <w:szCs w:val="28"/>
          <w:lang w:val="en-GB"/>
        </w:rPr>
        <w:t>The contested provision of the Code does not meet the requirement of necessity, as it introduces a more burdensome means for the rights and freedoms of the person in the presence of less intensive alternatives.</w:t>
      </w:r>
    </w:p>
    <w:p w:rsidR="00131B09" w:rsidRDefault="00131B09" w:rsidP="00131B09">
      <w:pPr>
        <w:pStyle w:val="ad"/>
        <w:spacing w:before="0" w:beforeAutospacing="0" w:after="0" w:afterAutospacing="0"/>
        <w:ind w:firstLine="567"/>
        <w:jc w:val="both"/>
        <w:rPr>
          <w:sz w:val="28"/>
          <w:szCs w:val="28"/>
          <w:lang w:val="en-GB"/>
        </w:rPr>
      </w:pPr>
      <w:r w:rsidRPr="00C470C6">
        <w:rPr>
          <w:sz w:val="28"/>
          <w:szCs w:val="28"/>
          <w:lang w:val="en-GB"/>
        </w:rPr>
        <w:lastRenderedPageBreak/>
        <w:t>The contested provision of the Code does not change the general procedure for consideration by an investigating judge or a court of a prosecutor's request to cancel, in respect of a suspect or accused, the preventive measure in the form of detention for the purpose of continuing and/or undergoing military service, but effectively makes it impossible for the defence to directly and effectively apply to an investigating judge or a court with the relevant request. As a result, an investigating judge or a court, at the initiative of the person whose rights are subject to the most intensive interference by the State, is deprived of the possibility of exercising judicial control over the relevant matter unless the prosecutor consents to it, which is incompatible with the principle of the rule of law and with the constitutional model of justice, in which the court is an independent arbiter and not a procedural instrument for exercising the discretion of the prosecution.</w:t>
      </w:r>
    </w:p>
    <w:p w:rsidR="002C30E5" w:rsidRPr="00C470C6" w:rsidRDefault="004D361F" w:rsidP="002C30E5">
      <w:pPr>
        <w:ind w:firstLine="851"/>
        <w:jc w:val="both"/>
        <w:rPr>
          <w:sz w:val="28"/>
          <w:szCs w:val="28"/>
          <w:lang w:val="en-GB"/>
        </w:rPr>
      </w:pPr>
      <w:r>
        <w:rPr>
          <w:bCs/>
          <w:sz w:val="28"/>
          <w:szCs w:val="28"/>
          <w:lang w:val="en-GB"/>
        </w:rPr>
        <w:t xml:space="preserve">Thus, the Constitutional Court of Ukraine declared </w:t>
      </w:r>
      <w:r w:rsidRPr="00C470C6">
        <w:rPr>
          <w:bCs/>
          <w:sz w:val="28"/>
          <w:szCs w:val="28"/>
          <w:lang w:val="en-GB"/>
        </w:rPr>
        <w:t>Article 616.1.2 of the Criminal Procedure Code unconstitutional</w:t>
      </w:r>
      <w:r w:rsidR="002C30E5" w:rsidRPr="002C30E5">
        <w:rPr>
          <w:sz w:val="28"/>
          <w:szCs w:val="28"/>
          <w:lang w:val="en-GB"/>
        </w:rPr>
        <w:t xml:space="preserve"> and </w:t>
      </w:r>
      <w:r w:rsidR="002C30E5">
        <w:rPr>
          <w:sz w:val="28"/>
          <w:szCs w:val="28"/>
          <w:lang w:val="en-GB"/>
        </w:rPr>
        <w:t xml:space="preserve">it </w:t>
      </w:r>
      <w:r w:rsidR="002C30E5" w:rsidRPr="002C30E5">
        <w:rPr>
          <w:sz w:val="28"/>
          <w:szCs w:val="28"/>
          <w:lang w:val="en-GB"/>
        </w:rPr>
        <w:t xml:space="preserve">shall cease to have effect six months from the date of </w:t>
      </w:r>
      <w:r w:rsidR="002C30E5">
        <w:rPr>
          <w:sz w:val="28"/>
          <w:szCs w:val="28"/>
          <w:lang w:val="en-US"/>
        </w:rPr>
        <w:t>delivery</w:t>
      </w:r>
      <w:r w:rsidR="002C30E5" w:rsidRPr="002C30E5">
        <w:rPr>
          <w:sz w:val="28"/>
          <w:szCs w:val="28"/>
          <w:lang w:val="en-GB"/>
        </w:rPr>
        <w:t xml:space="preserve"> of this Decision by the Constitutional Court.</w:t>
      </w:r>
    </w:p>
    <w:p w:rsidR="00997D02" w:rsidRPr="00997D02" w:rsidRDefault="00997D02" w:rsidP="00997D02">
      <w:pPr>
        <w:autoSpaceDE/>
        <w:autoSpaceDN/>
        <w:adjustRightInd/>
        <w:spacing w:before="100" w:beforeAutospacing="1" w:after="100" w:afterAutospacing="1"/>
        <w:rPr>
          <w:sz w:val="28"/>
          <w:szCs w:val="28"/>
          <w:u w:val="single"/>
        </w:rPr>
      </w:pPr>
      <w:r w:rsidRPr="00CA77EB">
        <w:rPr>
          <w:b/>
          <w:bCs/>
          <w:sz w:val="28"/>
          <w:szCs w:val="28"/>
          <w:u w:val="single"/>
        </w:rPr>
        <w:t>Supplementary information:</w:t>
      </w:r>
    </w:p>
    <w:p w:rsidR="00997D02" w:rsidRPr="00997D02" w:rsidRDefault="00997D02" w:rsidP="00997D02">
      <w:pPr>
        <w:numPr>
          <w:ilvl w:val="0"/>
          <w:numId w:val="4"/>
        </w:numPr>
        <w:autoSpaceDE/>
        <w:autoSpaceDN/>
        <w:adjustRightInd/>
        <w:spacing w:before="100" w:beforeAutospacing="1" w:after="100" w:afterAutospacing="1"/>
        <w:rPr>
          <w:sz w:val="28"/>
          <w:szCs w:val="28"/>
        </w:rPr>
      </w:pPr>
      <w:r w:rsidRPr="00997D02">
        <w:rPr>
          <w:i/>
          <w:iCs/>
          <w:sz w:val="28"/>
          <w:szCs w:val="28"/>
        </w:rPr>
        <w:t>Rule of Law Checklist</w:t>
      </w:r>
      <w:r w:rsidRPr="00997D02">
        <w:rPr>
          <w:sz w:val="28"/>
          <w:szCs w:val="28"/>
        </w:rPr>
        <w:t xml:space="preserve">, 12.03.2016 [CDL-AD(2016)007]; </w:t>
      </w:r>
    </w:p>
    <w:p w:rsidR="00997D02" w:rsidRPr="00997D02" w:rsidRDefault="00997D02" w:rsidP="00997D02">
      <w:pPr>
        <w:numPr>
          <w:ilvl w:val="0"/>
          <w:numId w:val="4"/>
        </w:numPr>
        <w:autoSpaceDE/>
        <w:autoSpaceDN/>
        <w:adjustRightInd/>
        <w:spacing w:before="100" w:beforeAutospacing="1" w:after="100" w:afterAutospacing="1"/>
        <w:rPr>
          <w:sz w:val="28"/>
          <w:szCs w:val="28"/>
        </w:rPr>
      </w:pPr>
      <w:r w:rsidRPr="00997D02">
        <w:rPr>
          <w:i/>
          <w:iCs/>
          <w:sz w:val="28"/>
          <w:szCs w:val="28"/>
        </w:rPr>
        <w:t>The Updated Rule of Law Checklist</w:t>
      </w:r>
      <w:r w:rsidRPr="00997D02">
        <w:rPr>
          <w:sz w:val="28"/>
          <w:szCs w:val="28"/>
        </w:rPr>
        <w:t xml:space="preserve">, 13.12.2025 [CDL-AD(2025)002]; </w:t>
      </w:r>
    </w:p>
    <w:p w:rsidR="00997D02" w:rsidRPr="00997D02" w:rsidRDefault="00997D02" w:rsidP="00997D02">
      <w:pPr>
        <w:numPr>
          <w:ilvl w:val="0"/>
          <w:numId w:val="4"/>
        </w:numPr>
        <w:autoSpaceDE/>
        <w:autoSpaceDN/>
        <w:adjustRightInd/>
        <w:spacing w:before="100" w:beforeAutospacing="1" w:after="100" w:afterAutospacing="1"/>
        <w:rPr>
          <w:sz w:val="28"/>
          <w:szCs w:val="28"/>
        </w:rPr>
      </w:pPr>
      <w:r w:rsidRPr="00997D02">
        <w:rPr>
          <w:i/>
          <w:iCs/>
          <w:sz w:val="28"/>
          <w:szCs w:val="28"/>
        </w:rPr>
        <w:t>Report on the Rule of Law</w:t>
      </w:r>
      <w:r w:rsidRPr="00997D02">
        <w:rPr>
          <w:sz w:val="28"/>
          <w:szCs w:val="28"/>
        </w:rPr>
        <w:t xml:space="preserve">, 26.03.2011 [CDL-AD(2011)003rev]. </w:t>
      </w:r>
    </w:p>
    <w:p w:rsidR="00997D02" w:rsidRPr="00997D02" w:rsidRDefault="00997D02" w:rsidP="00997D02">
      <w:pPr>
        <w:autoSpaceDE/>
        <w:autoSpaceDN/>
        <w:adjustRightInd/>
        <w:spacing w:before="100" w:beforeAutospacing="1" w:after="100" w:afterAutospacing="1"/>
        <w:rPr>
          <w:b/>
          <w:sz w:val="28"/>
          <w:szCs w:val="28"/>
          <w:u w:val="single"/>
        </w:rPr>
      </w:pPr>
      <w:r w:rsidRPr="00CA77EB">
        <w:rPr>
          <w:b/>
          <w:bCs/>
          <w:sz w:val="28"/>
          <w:szCs w:val="28"/>
          <w:u w:val="single"/>
        </w:rPr>
        <w:t>Cross-References:</w:t>
      </w:r>
    </w:p>
    <w:p w:rsidR="00997D02" w:rsidRPr="00997D02" w:rsidRDefault="00997D02" w:rsidP="00997D02">
      <w:pPr>
        <w:autoSpaceDE/>
        <w:autoSpaceDN/>
        <w:adjustRightInd/>
        <w:spacing w:before="100" w:beforeAutospacing="1" w:after="100" w:afterAutospacing="1"/>
        <w:rPr>
          <w:sz w:val="28"/>
          <w:szCs w:val="28"/>
        </w:rPr>
      </w:pPr>
      <w:r w:rsidRPr="00997D02">
        <w:rPr>
          <w:b/>
          <w:bCs/>
          <w:sz w:val="28"/>
          <w:szCs w:val="28"/>
        </w:rPr>
        <w:t>Constitutional Court of Ukraine:</w:t>
      </w:r>
    </w:p>
    <w:p w:rsidR="00997D02" w:rsidRPr="00997D02" w:rsidRDefault="00997D02" w:rsidP="00997D02">
      <w:pPr>
        <w:numPr>
          <w:ilvl w:val="0"/>
          <w:numId w:val="5"/>
        </w:numPr>
        <w:autoSpaceDE/>
        <w:autoSpaceDN/>
        <w:adjustRightInd/>
        <w:spacing w:before="100" w:beforeAutospacing="1" w:after="100" w:afterAutospacing="1"/>
        <w:rPr>
          <w:sz w:val="28"/>
          <w:szCs w:val="28"/>
        </w:rPr>
      </w:pPr>
      <w:r w:rsidRPr="00997D02">
        <w:rPr>
          <w:sz w:val="28"/>
          <w:szCs w:val="28"/>
        </w:rPr>
        <w:t xml:space="preserve">no. 15-rp/2004, 02.11.2004; </w:t>
      </w:r>
    </w:p>
    <w:p w:rsidR="00997D02" w:rsidRPr="00997D02" w:rsidRDefault="00997D02" w:rsidP="00997D02">
      <w:pPr>
        <w:numPr>
          <w:ilvl w:val="0"/>
          <w:numId w:val="5"/>
        </w:numPr>
        <w:autoSpaceDE/>
        <w:autoSpaceDN/>
        <w:adjustRightInd/>
        <w:spacing w:before="100" w:beforeAutospacing="1" w:after="100" w:afterAutospacing="1"/>
        <w:rPr>
          <w:sz w:val="28"/>
          <w:szCs w:val="28"/>
        </w:rPr>
      </w:pPr>
      <w:r w:rsidRPr="00997D02">
        <w:rPr>
          <w:sz w:val="28"/>
          <w:szCs w:val="28"/>
        </w:rPr>
        <w:t xml:space="preserve">no. 9-rp/2012, 12.04.2012; </w:t>
      </w:r>
    </w:p>
    <w:p w:rsidR="00997D02" w:rsidRPr="00997D02" w:rsidRDefault="00997D02" w:rsidP="00997D02">
      <w:pPr>
        <w:numPr>
          <w:ilvl w:val="0"/>
          <w:numId w:val="5"/>
        </w:numPr>
        <w:autoSpaceDE/>
        <w:autoSpaceDN/>
        <w:adjustRightInd/>
        <w:spacing w:before="100" w:beforeAutospacing="1" w:after="100" w:afterAutospacing="1"/>
        <w:rPr>
          <w:sz w:val="28"/>
          <w:szCs w:val="28"/>
        </w:rPr>
      </w:pPr>
      <w:r w:rsidRPr="00997D02">
        <w:rPr>
          <w:sz w:val="28"/>
          <w:szCs w:val="28"/>
        </w:rPr>
        <w:t xml:space="preserve">no. 11-rp/2012, 25.04.2012; </w:t>
      </w:r>
    </w:p>
    <w:p w:rsidR="00997D02" w:rsidRPr="00997D02" w:rsidRDefault="00997D02" w:rsidP="00997D02">
      <w:pPr>
        <w:numPr>
          <w:ilvl w:val="0"/>
          <w:numId w:val="5"/>
        </w:numPr>
        <w:autoSpaceDE/>
        <w:autoSpaceDN/>
        <w:adjustRightInd/>
        <w:spacing w:before="100" w:beforeAutospacing="1" w:after="100" w:afterAutospacing="1"/>
        <w:rPr>
          <w:sz w:val="28"/>
          <w:szCs w:val="28"/>
        </w:rPr>
      </w:pPr>
      <w:r w:rsidRPr="00997D02">
        <w:rPr>
          <w:sz w:val="28"/>
          <w:szCs w:val="28"/>
        </w:rPr>
        <w:t xml:space="preserve">no. 1-r/2017, 23.11.2017; </w:t>
      </w:r>
    </w:p>
    <w:p w:rsidR="00997D02" w:rsidRPr="00997D02" w:rsidRDefault="00997D02" w:rsidP="00997D02">
      <w:pPr>
        <w:numPr>
          <w:ilvl w:val="0"/>
          <w:numId w:val="5"/>
        </w:numPr>
        <w:autoSpaceDE/>
        <w:autoSpaceDN/>
        <w:adjustRightInd/>
        <w:spacing w:before="100" w:beforeAutospacing="1" w:after="100" w:afterAutospacing="1"/>
        <w:rPr>
          <w:sz w:val="28"/>
          <w:szCs w:val="28"/>
        </w:rPr>
      </w:pPr>
      <w:r w:rsidRPr="00997D02">
        <w:rPr>
          <w:sz w:val="28"/>
          <w:szCs w:val="28"/>
        </w:rPr>
        <w:t xml:space="preserve">no. 10-r(II)/2023, 22.11.2023; </w:t>
      </w:r>
    </w:p>
    <w:p w:rsidR="00997D02" w:rsidRPr="00997D02" w:rsidRDefault="00997D02" w:rsidP="00997D02">
      <w:pPr>
        <w:numPr>
          <w:ilvl w:val="0"/>
          <w:numId w:val="5"/>
        </w:numPr>
        <w:autoSpaceDE/>
        <w:autoSpaceDN/>
        <w:adjustRightInd/>
        <w:spacing w:before="100" w:beforeAutospacing="1" w:after="100" w:afterAutospacing="1"/>
        <w:rPr>
          <w:sz w:val="28"/>
          <w:szCs w:val="28"/>
        </w:rPr>
      </w:pPr>
      <w:r w:rsidRPr="00997D02">
        <w:rPr>
          <w:sz w:val="28"/>
          <w:szCs w:val="28"/>
        </w:rPr>
        <w:t xml:space="preserve">no. 7-r(II)/2024, 19.06.2024; </w:t>
      </w:r>
    </w:p>
    <w:p w:rsidR="00997D02" w:rsidRPr="00997D02" w:rsidRDefault="00997D02" w:rsidP="00997D02">
      <w:pPr>
        <w:numPr>
          <w:ilvl w:val="0"/>
          <w:numId w:val="5"/>
        </w:numPr>
        <w:autoSpaceDE/>
        <w:autoSpaceDN/>
        <w:adjustRightInd/>
        <w:spacing w:before="100" w:beforeAutospacing="1" w:after="100" w:afterAutospacing="1"/>
        <w:rPr>
          <w:sz w:val="28"/>
          <w:szCs w:val="28"/>
        </w:rPr>
      </w:pPr>
      <w:r w:rsidRPr="00997D02">
        <w:rPr>
          <w:sz w:val="28"/>
          <w:szCs w:val="28"/>
        </w:rPr>
        <w:t xml:space="preserve">no. 8-r(II)/2024, 18.07.2024. </w:t>
      </w:r>
    </w:p>
    <w:p w:rsidR="00997D02" w:rsidRPr="00997D02" w:rsidRDefault="00997D02" w:rsidP="00997D02">
      <w:pPr>
        <w:autoSpaceDE/>
        <w:autoSpaceDN/>
        <w:adjustRightInd/>
        <w:spacing w:before="100" w:beforeAutospacing="1" w:after="100" w:afterAutospacing="1"/>
        <w:rPr>
          <w:sz w:val="28"/>
          <w:szCs w:val="28"/>
        </w:rPr>
      </w:pPr>
      <w:r w:rsidRPr="00997D02">
        <w:rPr>
          <w:b/>
          <w:bCs/>
          <w:sz w:val="28"/>
          <w:szCs w:val="28"/>
        </w:rPr>
        <w:t>European Court of Human Rights:</w:t>
      </w:r>
    </w:p>
    <w:p w:rsidR="00997D02" w:rsidRPr="00997D02" w:rsidRDefault="00997D02" w:rsidP="00997D02">
      <w:pPr>
        <w:numPr>
          <w:ilvl w:val="0"/>
          <w:numId w:val="6"/>
        </w:numPr>
        <w:autoSpaceDE/>
        <w:autoSpaceDN/>
        <w:adjustRightInd/>
        <w:spacing w:before="100" w:beforeAutospacing="1" w:after="100" w:afterAutospacing="1"/>
        <w:rPr>
          <w:sz w:val="28"/>
          <w:szCs w:val="28"/>
        </w:rPr>
      </w:pPr>
      <w:r w:rsidRPr="00997D02">
        <w:rPr>
          <w:i/>
          <w:iCs/>
          <w:sz w:val="28"/>
          <w:szCs w:val="28"/>
        </w:rPr>
        <w:t>Niedbała v. Poland</w:t>
      </w:r>
      <w:r w:rsidRPr="00997D02">
        <w:rPr>
          <w:sz w:val="28"/>
          <w:szCs w:val="28"/>
        </w:rPr>
        <w:t xml:space="preserve">, no. 27915/95, 04.07.2000; </w:t>
      </w:r>
    </w:p>
    <w:p w:rsidR="00997D02" w:rsidRPr="00997D02" w:rsidRDefault="00997D02" w:rsidP="00997D02">
      <w:pPr>
        <w:numPr>
          <w:ilvl w:val="0"/>
          <w:numId w:val="6"/>
        </w:numPr>
        <w:autoSpaceDE/>
        <w:autoSpaceDN/>
        <w:adjustRightInd/>
        <w:spacing w:before="100" w:beforeAutospacing="1" w:after="100" w:afterAutospacing="1"/>
        <w:rPr>
          <w:sz w:val="28"/>
          <w:szCs w:val="28"/>
        </w:rPr>
      </w:pPr>
      <w:r w:rsidRPr="00997D02">
        <w:rPr>
          <w:i/>
          <w:iCs/>
          <w:sz w:val="28"/>
          <w:szCs w:val="28"/>
        </w:rPr>
        <w:t>Popovych v. Ukraine</w:t>
      </w:r>
      <w:r w:rsidRPr="00997D02">
        <w:rPr>
          <w:sz w:val="28"/>
          <w:szCs w:val="28"/>
        </w:rPr>
        <w:t xml:space="preserve">, no. 44704/11, 22.04.2021; </w:t>
      </w:r>
    </w:p>
    <w:p w:rsidR="00997D02" w:rsidRPr="00997D02" w:rsidRDefault="00997D02" w:rsidP="00997D02">
      <w:pPr>
        <w:numPr>
          <w:ilvl w:val="0"/>
          <w:numId w:val="6"/>
        </w:numPr>
        <w:autoSpaceDE/>
        <w:autoSpaceDN/>
        <w:adjustRightInd/>
        <w:spacing w:before="100" w:beforeAutospacing="1" w:after="100" w:afterAutospacing="1"/>
        <w:rPr>
          <w:sz w:val="28"/>
          <w:szCs w:val="28"/>
        </w:rPr>
      </w:pPr>
      <w:r w:rsidRPr="00997D02">
        <w:rPr>
          <w:i/>
          <w:iCs/>
          <w:sz w:val="28"/>
          <w:szCs w:val="28"/>
        </w:rPr>
        <w:t>Brandstetter v. Austria</w:t>
      </w:r>
      <w:r w:rsidRPr="00997D02">
        <w:rPr>
          <w:sz w:val="28"/>
          <w:szCs w:val="28"/>
        </w:rPr>
        <w:t xml:space="preserve">, nos. 11170/84, 12876/87, 13468/87, 28.08.1991; </w:t>
      </w:r>
    </w:p>
    <w:p w:rsidR="00997D02" w:rsidRPr="00997D02" w:rsidRDefault="00997D02" w:rsidP="00997D02">
      <w:pPr>
        <w:numPr>
          <w:ilvl w:val="0"/>
          <w:numId w:val="6"/>
        </w:numPr>
        <w:autoSpaceDE/>
        <w:autoSpaceDN/>
        <w:adjustRightInd/>
        <w:spacing w:before="100" w:beforeAutospacing="1" w:after="100" w:afterAutospacing="1"/>
        <w:rPr>
          <w:sz w:val="28"/>
          <w:szCs w:val="28"/>
        </w:rPr>
      </w:pPr>
      <w:r w:rsidRPr="00997D02">
        <w:rPr>
          <w:i/>
          <w:iCs/>
          <w:sz w:val="28"/>
          <w:szCs w:val="28"/>
        </w:rPr>
        <w:t>Karelin v. Russia</w:t>
      </w:r>
      <w:r w:rsidRPr="00997D02">
        <w:rPr>
          <w:sz w:val="28"/>
          <w:szCs w:val="28"/>
        </w:rPr>
        <w:t xml:space="preserve">, no. 926/08, 20.09.2016; </w:t>
      </w:r>
    </w:p>
    <w:p w:rsidR="00997D02" w:rsidRPr="00997D02" w:rsidRDefault="00997D02" w:rsidP="00997D02">
      <w:pPr>
        <w:numPr>
          <w:ilvl w:val="0"/>
          <w:numId w:val="6"/>
        </w:numPr>
        <w:autoSpaceDE/>
        <w:autoSpaceDN/>
        <w:adjustRightInd/>
        <w:spacing w:before="100" w:beforeAutospacing="1" w:after="100" w:afterAutospacing="1"/>
        <w:rPr>
          <w:sz w:val="28"/>
          <w:szCs w:val="28"/>
        </w:rPr>
      </w:pPr>
      <w:r w:rsidRPr="00997D02">
        <w:rPr>
          <w:i/>
          <w:iCs/>
          <w:sz w:val="28"/>
          <w:szCs w:val="28"/>
        </w:rPr>
        <w:t>Ozerov v. Russia</w:t>
      </w:r>
      <w:r w:rsidRPr="00997D02">
        <w:rPr>
          <w:sz w:val="28"/>
          <w:szCs w:val="28"/>
        </w:rPr>
        <w:t xml:space="preserve">, no. 64962/01, 18.05.2010; </w:t>
      </w:r>
    </w:p>
    <w:p w:rsidR="00997D02" w:rsidRPr="00997D02" w:rsidRDefault="00997D02" w:rsidP="00997D02">
      <w:pPr>
        <w:numPr>
          <w:ilvl w:val="0"/>
          <w:numId w:val="6"/>
        </w:numPr>
        <w:autoSpaceDE/>
        <w:autoSpaceDN/>
        <w:adjustRightInd/>
        <w:spacing w:before="100" w:beforeAutospacing="1" w:after="100" w:afterAutospacing="1"/>
        <w:rPr>
          <w:sz w:val="28"/>
          <w:szCs w:val="28"/>
        </w:rPr>
      </w:pPr>
      <w:r w:rsidRPr="00997D02">
        <w:rPr>
          <w:i/>
          <w:iCs/>
          <w:sz w:val="28"/>
          <w:szCs w:val="28"/>
        </w:rPr>
        <w:t>Zubac v. Croatia</w:t>
      </w:r>
      <w:r w:rsidRPr="00997D02">
        <w:rPr>
          <w:sz w:val="28"/>
          <w:szCs w:val="28"/>
        </w:rPr>
        <w:t>, no. 40160/12, 05.04.2018.</w:t>
      </w:r>
    </w:p>
    <w:p w:rsidR="0008054E" w:rsidRPr="00997D02" w:rsidRDefault="0008054E" w:rsidP="00997D02">
      <w:pPr>
        <w:autoSpaceDE/>
        <w:autoSpaceDN/>
        <w:adjustRightInd/>
        <w:spacing w:before="100" w:beforeAutospacing="1" w:after="100" w:afterAutospacing="1"/>
        <w:rPr>
          <w:sz w:val="28"/>
          <w:szCs w:val="28"/>
          <w:lang w:val="en-GB"/>
        </w:rPr>
      </w:pPr>
    </w:p>
    <w:sectPr w:rsidR="0008054E" w:rsidRPr="00997D02">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228" w:rsidRDefault="00E66228" w:rsidP="00786030">
      <w:r>
        <w:separator/>
      </w:r>
    </w:p>
  </w:endnote>
  <w:endnote w:type="continuationSeparator" w:id="0">
    <w:p w:rsidR="00E66228" w:rsidRDefault="00E66228" w:rsidP="00786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228" w:rsidRDefault="00E66228" w:rsidP="00786030">
      <w:r>
        <w:separator/>
      </w:r>
    </w:p>
  </w:footnote>
  <w:footnote w:type="continuationSeparator" w:id="0">
    <w:p w:rsidR="00E66228" w:rsidRDefault="00E66228" w:rsidP="007860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93104"/>
    <w:multiLevelType w:val="multilevel"/>
    <w:tmpl w:val="2C52D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0622A"/>
    <w:multiLevelType w:val="multilevel"/>
    <w:tmpl w:val="822AF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CE42D0"/>
    <w:multiLevelType w:val="multilevel"/>
    <w:tmpl w:val="D06EB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BF380A"/>
    <w:multiLevelType w:val="multilevel"/>
    <w:tmpl w:val="2A7A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D5222A"/>
    <w:multiLevelType w:val="multilevel"/>
    <w:tmpl w:val="A9441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EF7C01"/>
    <w:multiLevelType w:val="multilevel"/>
    <w:tmpl w:val="F38A9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FDF"/>
    <w:rsid w:val="000029FC"/>
    <w:rsid w:val="0000432B"/>
    <w:rsid w:val="00007F28"/>
    <w:rsid w:val="00010341"/>
    <w:rsid w:val="000115DE"/>
    <w:rsid w:val="000151A3"/>
    <w:rsid w:val="000156D3"/>
    <w:rsid w:val="00017D90"/>
    <w:rsid w:val="00017EBC"/>
    <w:rsid w:val="000200A7"/>
    <w:rsid w:val="00023A8B"/>
    <w:rsid w:val="0002430F"/>
    <w:rsid w:val="00024C74"/>
    <w:rsid w:val="00031A05"/>
    <w:rsid w:val="00032E33"/>
    <w:rsid w:val="00034ADC"/>
    <w:rsid w:val="000354BE"/>
    <w:rsid w:val="000437F8"/>
    <w:rsid w:val="00043BF9"/>
    <w:rsid w:val="00045F77"/>
    <w:rsid w:val="000460DF"/>
    <w:rsid w:val="000515FF"/>
    <w:rsid w:val="00051AB7"/>
    <w:rsid w:val="0005200A"/>
    <w:rsid w:val="00053ECC"/>
    <w:rsid w:val="000549A9"/>
    <w:rsid w:val="000569FD"/>
    <w:rsid w:val="00056A60"/>
    <w:rsid w:val="00064EC6"/>
    <w:rsid w:val="00072DF8"/>
    <w:rsid w:val="00074218"/>
    <w:rsid w:val="00076F6B"/>
    <w:rsid w:val="00077A9D"/>
    <w:rsid w:val="00080087"/>
    <w:rsid w:val="0008054E"/>
    <w:rsid w:val="00082703"/>
    <w:rsid w:val="0008371C"/>
    <w:rsid w:val="00084670"/>
    <w:rsid w:val="00084C15"/>
    <w:rsid w:val="00086D82"/>
    <w:rsid w:val="0008710F"/>
    <w:rsid w:val="000878BA"/>
    <w:rsid w:val="00091C1E"/>
    <w:rsid w:val="0009741F"/>
    <w:rsid w:val="000A0FA5"/>
    <w:rsid w:val="000A29A0"/>
    <w:rsid w:val="000A5096"/>
    <w:rsid w:val="000A60D7"/>
    <w:rsid w:val="000A7695"/>
    <w:rsid w:val="000B1DA5"/>
    <w:rsid w:val="000B40DD"/>
    <w:rsid w:val="000B43C0"/>
    <w:rsid w:val="000B48B1"/>
    <w:rsid w:val="000B49E2"/>
    <w:rsid w:val="000B7D63"/>
    <w:rsid w:val="000C0DE3"/>
    <w:rsid w:val="000C1FEC"/>
    <w:rsid w:val="000C2B6E"/>
    <w:rsid w:val="000C4870"/>
    <w:rsid w:val="000D1B9A"/>
    <w:rsid w:val="000D2B7D"/>
    <w:rsid w:val="000D4569"/>
    <w:rsid w:val="000E0336"/>
    <w:rsid w:val="000E7825"/>
    <w:rsid w:val="000F32C8"/>
    <w:rsid w:val="000F6985"/>
    <w:rsid w:val="00101629"/>
    <w:rsid w:val="0010239A"/>
    <w:rsid w:val="001024FD"/>
    <w:rsid w:val="00103CA9"/>
    <w:rsid w:val="00104F8D"/>
    <w:rsid w:val="001059E6"/>
    <w:rsid w:val="00113D2E"/>
    <w:rsid w:val="00115A60"/>
    <w:rsid w:val="001201F5"/>
    <w:rsid w:val="00122474"/>
    <w:rsid w:val="00123E8C"/>
    <w:rsid w:val="00125797"/>
    <w:rsid w:val="00131B09"/>
    <w:rsid w:val="00134359"/>
    <w:rsid w:val="00135AB3"/>
    <w:rsid w:val="0013736C"/>
    <w:rsid w:val="0014242E"/>
    <w:rsid w:val="00146DFC"/>
    <w:rsid w:val="00153878"/>
    <w:rsid w:val="0015415C"/>
    <w:rsid w:val="001602C2"/>
    <w:rsid w:val="00160D95"/>
    <w:rsid w:val="0016128D"/>
    <w:rsid w:val="00163C25"/>
    <w:rsid w:val="001704B8"/>
    <w:rsid w:val="00172696"/>
    <w:rsid w:val="00172EE2"/>
    <w:rsid w:val="00175E1E"/>
    <w:rsid w:val="00181D94"/>
    <w:rsid w:val="001834E7"/>
    <w:rsid w:val="00190233"/>
    <w:rsid w:val="001917EA"/>
    <w:rsid w:val="00192668"/>
    <w:rsid w:val="001933AA"/>
    <w:rsid w:val="001A0155"/>
    <w:rsid w:val="001A7F2D"/>
    <w:rsid w:val="001B056E"/>
    <w:rsid w:val="001B1A42"/>
    <w:rsid w:val="001B1F2F"/>
    <w:rsid w:val="001B2174"/>
    <w:rsid w:val="001B3969"/>
    <w:rsid w:val="001B3A74"/>
    <w:rsid w:val="001B7BC0"/>
    <w:rsid w:val="001C0D8F"/>
    <w:rsid w:val="001C2064"/>
    <w:rsid w:val="001C2DF5"/>
    <w:rsid w:val="001C47F7"/>
    <w:rsid w:val="001C71B1"/>
    <w:rsid w:val="001D1FEA"/>
    <w:rsid w:val="001D2F39"/>
    <w:rsid w:val="001D4D57"/>
    <w:rsid w:val="001D5352"/>
    <w:rsid w:val="001D5675"/>
    <w:rsid w:val="001D5EC4"/>
    <w:rsid w:val="001D6E9F"/>
    <w:rsid w:val="001E0EDA"/>
    <w:rsid w:val="001E1344"/>
    <w:rsid w:val="001E1D6E"/>
    <w:rsid w:val="001E2442"/>
    <w:rsid w:val="001E27C6"/>
    <w:rsid w:val="001F17CE"/>
    <w:rsid w:val="001F2198"/>
    <w:rsid w:val="001F66FD"/>
    <w:rsid w:val="001F6E9C"/>
    <w:rsid w:val="001F7DA6"/>
    <w:rsid w:val="00202ED0"/>
    <w:rsid w:val="00203186"/>
    <w:rsid w:val="00205329"/>
    <w:rsid w:val="0020799E"/>
    <w:rsid w:val="00211752"/>
    <w:rsid w:val="00213752"/>
    <w:rsid w:val="002152D3"/>
    <w:rsid w:val="00216A58"/>
    <w:rsid w:val="00216EC0"/>
    <w:rsid w:val="00223DC7"/>
    <w:rsid w:val="00224A65"/>
    <w:rsid w:val="00232BBD"/>
    <w:rsid w:val="002332AC"/>
    <w:rsid w:val="00234BBC"/>
    <w:rsid w:val="002355AC"/>
    <w:rsid w:val="002361BE"/>
    <w:rsid w:val="002409D1"/>
    <w:rsid w:val="002432C0"/>
    <w:rsid w:val="0024579B"/>
    <w:rsid w:val="0024655C"/>
    <w:rsid w:val="00246BEE"/>
    <w:rsid w:val="00247AD2"/>
    <w:rsid w:val="00253797"/>
    <w:rsid w:val="00253E66"/>
    <w:rsid w:val="0025492F"/>
    <w:rsid w:val="0025557C"/>
    <w:rsid w:val="002665ED"/>
    <w:rsid w:val="00273AC9"/>
    <w:rsid w:val="002742B3"/>
    <w:rsid w:val="00275BF6"/>
    <w:rsid w:val="00275E25"/>
    <w:rsid w:val="00275F8D"/>
    <w:rsid w:val="002808B6"/>
    <w:rsid w:val="00285D3C"/>
    <w:rsid w:val="002864AA"/>
    <w:rsid w:val="00286F1A"/>
    <w:rsid w:val="00290CC3"/>
    <w:rsid w:val="00292E69"/>
    <w:rsid w:val="00292F4E"/>
    <w:rsid w:val="00294EC3"/>
    <w:rsid w:val="002962F6"/>
    <w:rsid w:val="00296A67"/>
    <w:rsid w:val="00296CB4"/>
    <w:rsid w:val="002974C5"/>
    <w:rsid w:val="002A6830"/>
    <w:rsid w:val="002B087F"/>
    <w:rsid w:val="002B2416"/>
    <w:rsid w:val="002B306C"/>
    <w:rsid w:val="002C30E5"/>
    <w:rsid w:val="002C3792"/>
    <w:rsid w:val="002C55D0"/>
    <w:rsid w:val="002D14AD"/>
    <w:rsid w:val="002D1E7C"/>
    <w:rsid w:val="002D3E3B"/>
    <w:rsid w:val="002D4E25"/>
    <w:rsid w:val="002E1879"/>
    <w:rsid w:val="002E1980"/>
    <w:rsid w:val="002E29F7"/>
    <w:rsid w:val="002E42DD"/>
    <w:rsid w:val="002E4860"/>
    <w:rsid w:val="002E5AA1"/>
    <w:rsid w:val="002E5AB1"/>
    <w:rsid w:val="002E5E7F"/>
    <w:rsid w:val="002E6F4D"/>
    <w:rsid w:val="002E71A0"/>
    <w:rsid w:val="002F0171"/>
    <w:rsid w:val="002F57DF"/>
    <w:rsid w:val="002F77F9"/>
    <w:rsid w:val="00301431"/>
    <w:rsid w:val="00303DA6"/>
    <w:rsid w:val="003044ED"/>
    <w:rsid w:val="003079DD"/>
    <w:rsid w:val="00310627"/>
    <w:rsid w:val="0031187C"/>
    <w:rsid w:val="00324CCA"/>
    <w:rsid w:val="00325EF4"/>
    <w:rsid w:val="00327AA8"/>
    <w:rsid w:val="00332D56"/>
    <w:rsid w:val="00332E5A"/>
    <w:rsid w:val="0033339B"/>
    <w:rsid w:val="0033508B"/>
    <w:rsid w:val="003415B0"/>
    <w:rsid w:val="0034161C"/>
    <w:rsid w:val="0035010E"/>
    <w:rsid w:val="00350EC6"/>
    <w:rsid w:val="00352CE2"/>
    <w:rsid w:val="00354DD9"/>
    <w:rsid w:val="003551DD"/>
    <w:rsid w:val="00356F05"/>
    <w:rsid w:val="00357470"/>
    <w:rsid w:val="003604B2"/>
    <w:rsid w:val="00363FEB"/>
    <w:rsid w:val="00364968"/>
    <w:rsid w:val="0036547B"/>
    <w:rsid w:val="00367FD0"/>
    <w:rsid w:val="0037136D"/>
    <w:rsid w:val="00371803"/>
    <w:rsid w:val="00373E47"/>
    <w:rsid w:val="00374526"/>
    <w:rsid w:val="00374DC3"/>
    <w:rsid w:val="00375BDF"/>
    <w:rsid w:val="00375C7B"/>
    <w:rsid w:val="00377A4A"/>
    <w:rsid w:val="00380566"/>
    <w:rsid w:val="00381076"/>
    <w:rsid w:val="00381C2B"/>
    <w:rsid w:val="00383255"/>
    <w:rsid w:val="00384778"/>
    <w:rsid w:val="00397EF9"/>
    <w:rsid w:val="003A28F2"/>
    <w:rsid w:val="003A50C4"/>
    <w:rsid w:val="003A5C55"/>
    <w:rsid w:val="003C226B"/>
    <w:rsid w:val="003C29FB"/>
    <w:rsid w:val="003C2EB0"/>
    <w:rsid w:val="003D17E9"/>
    <w:rsid w:val="003D2BFF"/>
    <w:rsid w:val="003D59C5"/>
    <w:rsid w:val="003D6CBF"/>
    <w:rsid w:val="003D7338"/>
    <w:rsid w:val="003D7B07"/>
    <w:rsid w:val="003E4446"/>
    <w:rsid w:val="003F0162"/>
    <w:rsid w:val="003F0F01"/>
    <w:rsid w:val="003F207F"/>
    <w:rsid w:val="003F22AB"/>
    <w:rsid w:val="003F29E5"/>
    <w:rsid w:val="003F5C71"/>
    <w:rsid w:val="003F64F6"/>
    <w:rsid w:val="003F6A2E"/>
    <w:rsid w:val="003F7155"/>
    <w:rsid w:val="003F78D1"/>
    <w:rsid w:val="00401755"/>
    <w:rsid w:val="00407025"/>
    <w:rsid w:val="0040751B"/>
    <w:rsid w:val="00410148"/>
    <w:rsid w:val="0041123E"/>
    <w:rsid w:val="00412B6B"/>
    <w:rsid w:val="00414EEC"/>
    <w:rsid w:val="00414F26"/>
    <w:rsid w:val="0041523F"/>
    <w:rsid w:val="00415ABB"/>
    <w:rsid w:val="00417A74"/>
    <w:rsid w:val="00423C2C"/>
    <w:rsid w:val="004331FF"/>
    <w:rsid w:val="00435508"/>
    <w:rsid w:val="00436DC7"/>
    <w:rsid w:val="00440D03"/>
    <w:rsid w:val="00440EC6"/>
    <w:rsid w:val="00441734"/>
    <w:rsid w:val="0044238F"/>
    <w:rsid w:val="004472C0"/>
    <w:rsid w:val="0044742F"/>
    <w:rsid w:val="00447B64"/>
    <w:rsid w:val="00447FC6"/>
    <w:rsid w:val="00451154"/>
    <w:rsid w:val="00451A71"/>
    <w:rsid w:val="00453D9A"/>
    <w:rsid w:val="00454A1F"/>
    <w:rsid w:val="0045541F"/>
    <w:rsid w:val="00455AF4"/>
    <w:rsid w:val="00457141"/>
    <w:rsid w:val="00463326"/>
    <w:rsid w:val="00463F6E"/>
    <w:rsid w:val="00465098"/>
    <w:rsid w:val="0046512B"/>
    <w:rsid w:val="004656BA"/>
    <w:rsid w:val="00467A21"/>
    <w:rsid w:val="004700C2"/>
    <w:rsid w:val="004710FF"/>
    <w:rsid w:val="00471EBB"/>
    <w:rsid w:val="00471F97"/>
    <w:rsid w:val="004747D4"/>
    <w:rsid w:val="004753F5"/>
    <w:rsid w:val="00477E68"/>
    <w:rsid w:val="0048094E"/>
    <w:rsid w:val="00484B20"/>
    <w:rsid w:val="004866EF"/>
    <w:rsid w:val="00490B3B"/>
    <w:rsid w:val="00493C39"/>
    <w:rsid w:val="00494417"/>
    <w:rsid w:val="00494829"/>
    <w:rsid w:val="0049792E"/>
    <w:rsid w:val="004A2973"/>
    <w:rsid w:val="004A3624"/>
    <w:rsid w:val="004A3F9D"/>
    <w:rsid w:val="004A5514"/>
    <w:rsid w:val="004A5F5C"/>
    <w:rsid w:val="004A6556"/>
    <w:rsid w:val="004B48FA"/>
    <w:rsid w:val="004B64C4"/>
    <w:rsid w:val="004B7FAC"/>
    <w:rsid w:val="004C18BF"/>
    <w:rsid w:val="004C28F9"/>
    <w:rsid w:val="004C2E91"/>
    <w:rsid w:val="004C6612"/>
    <w:rsid w:val="004D29F7"/>
    <w:rsid w:val="004D2C40"/>
    <w:rsid w:val="004D361F"/>
    <w:rsid w:val="004D4977"/>
    <w:rsid w:val="004D4E9C"/>
    <w:rsid w:val="004D7614"/>
    <w:rsid w:val="004D7864"/>
    <w:rsid w:val="004E40C8"/>
    <w:rsid w:val="004E6490"/>
    <w:rsid w:val="004E74CB"/>
    <w:rsid w:val="004E7A5F"/>
    <w:rsid w:val="004F047E"/>
    <w:rsid w:val="004F2583"/>
    <w:rsid w:val="004F3993"/>
    <w:rsid w:val="004F3AA8"/>
    <w:rsid w:val="004F55D6"/>
    <w:rsid w:val="0050188C"/>
    <w:rsid w:val="00502951"/>
    <w:rsid w:val="00507A6D"/>
    <w:rsid w:val="00512A15"/>
    <w:rsid w:val="00515406"/>
    <w:rsid w:val="0051592D"/>
    <w:rsid w:val="00515E58"/>
    <w:rsid w:val="00515E68"/>
    <w:rsid w:val="00523C3F"/>
    <w:rsid w:val="0052439D"/>
    <w:rsid w:val="005320A5"/>
    <w:rsid w:val="00535250"/>
    <w:rsid w:val="00537D1B"/>
    <w:rsid w:val="00542615"/>
    <w:rsid w:val="00542D4F"/>
    <w:rsid w:val="00543C1C"/>
    <w:rsid w:val="00545D26"/>
    <w:rsid w:val="005478DC"/>
    <w:rsid w:val="0055039C"/>
    <w:rsid w:val="00550441"/>
    <w:rsid w:val="005523FE"/>
    <w:rsid w:val="005561F6"/>
    <w:rsid w:val="00556758"/>
    <w:rsid w:val="00556D71"/>
    <w:rsid w:val="00562752"/>
    <w:rsid w:val="00563DF5"/>
    <w:rsid w:val="005645F4"/>
    <w:rsid w:val="00564D25"/>
    <w:rsid w:val="00567806"/>
    <w:rsid w:val="00570F0E"/>
    <w:rsid w:val="0057514E"/>
    <w:rsid w:val="00580524"/>
    <w:rsid w:val="00581B72"/>
    <w:rsid w:val="00581C14"/>
    <w:rsid w:val="00584600"/>
    <w:rsid w:val="00584A97"/>
    <w:rsid w:val="005907F0"/>
    <w:rsid w:val="00593BB9"/>
    <w:rsid w:val="00597A82"/>
    <w:rsid w:val="00597C48"/>
    <w:rsid w:val="005A0E76"/>
    <w:rsid w:val="005A709E"/>
    <w:rsid w:val="005B415D"/>
    <w:rsid w:val="005B754A"/>
    <w:rsid w:val="005C0B06"/>
    <w:rsid w:val="005C1862"/>
    <w:rsid w:val="005C45EE"/>
    <w:rsid w:val="005C5724"/>
    <w:rsid w:val="005C64DC"/>
    <w:rsid w:val="005C7042"/>
    <w:rsid w:val="005D0AB1"/>
    <w:rsid w:val="005D3B85"/>
    <w:rsid w:val="005D4155"/>
    <w:rsid w:val="005D42C0"/>
    <w:rsid w:val="005D6214"/>
    <w:rsid w:val="005E2F18"/>
    <w:rsid w:val="005E31A1"/>
    <w:rsid w:val="005E3A78"/>
    <w:rsid w:val="005E451F"/>
    <w:rsid w:val="005F102B"/>
    <w:rsid w:val="005F1CAF"/>
    <w:rsid w:val="005F20FE"/>
    <w:rsid w:val="005F2AF3"/>
    <w:rsid w:val="005F31F4"/>
    <w:rsid w:val="005F3EF2"/>
    <w:rsid w:val="005F4F51"/>
    <w:rsid w:val="005F7FA3"/>
    <w:rsid w:val="00600CBB"/>
    <w:rsid w:val="0060263F"/>
    <w:rsid w:val="00603917"/>
    <w:rsid w:val="00605125"/>
    <w:rsid w:val="00605614"/>
    <w:rsid w:val="00610449"/>
    <w:rsid w:val="00611044"/>
    <w:rsid w:val="006111AA"/>
    <w:rsid w:val="006116D3"/>
    <w:rsid w:val="006171BE"/>
    <w:rsid w:val="00620DD1"/>
    <w:rsid w:val="00622585"/>
    <w:rsid w:val="00626572"/>
    <w:rsid w:val="006300A7"/>
    <w:rsid w:val="006308F4"/>
    <w:rsid w:val="00631E57"/>
    <w:rsid w:val="0063339A"/>
    <w:rsid w:val="00634BF0"/>
    <w:rsid w:val="00634EF6"/>
    <w:rsid w:val="00635A43"/>
    <w:rsid w:val="00643C79"/>
    <w:rsid w:val="006476C6"/>
    <w:rsid w:val="006512BA"/>
    <w:rsid w:val="0065172C"/>
    <w:rsid w:val="00654E69"/>
    <w:rsid w:val="006564C8"/>
    <w:rsid w:val="00662AB4"/>
    <w:rsid w:val="00663571"/>
    <w:rsid w:val="00663C3E"/>
    <w:rsid w:val="00667394"/>
    <w:rsid w:val="006702EC"/>
    <w:rsid w:val="006738AD"/>
    <w:rsid w:val="00674B09"/>
    <w:rsid w:val="0067655F"/>
    <w:rsid w:val="00677F55"/>
    <w:rsid w:val="00680E1C"/>
    <w:rsid w:val="0068294A"/>
    <w:rsid w:val="00683196"/>
    <w:rsid w:val="00683E82"/>
    <w:rsid w:val="006853B8"/>
    <w:rsid w:val="006927E5"/>
    <w:rsid w:val="00694332"/>
    <w:rsid w:val="00696B07"/>
    <w:rsid w:val="006A13D8"/>
    <w:rsid w:val="006A1D7D"/>
    <w:rsid w:val="006A2AC7"/>
    <w:rsid w:val="006A3405"/>
    <w:rsid w:val="006A63AD"/>
    <w:rsid w:val="006B223B"/>
    <w:rsid w:val="006B22A5"/>
    <w:rsid w:val="006B24CC"/>
    <w:rsid w:val="006B3D34"/>
    <w:rsid w:val="006B71BC"/>
    <w:rsid w:val="006C30B9"/>
    <w:rsid w:val="006C381A"/>
    <w:rsid w:val="006C504F"/>
    <w:rsid w:val="006C5369"/>
    <w:rsid w:val="006C6BBF"/>
    <w:rsid w:val="006C7457"/>
    <w:rsid w:val="006D0A2B"/>
    <w:rsid w:val="006D3187"/>
    <w:rsid w:val="006D3329"/>
    <w:rsid w:val="006D3698"/>
    <w:rsid w:val="006D3717"/>
    <w:rsid w:val="006D4B02"/>
    <w:rsid w:val="006E22FF"/>
    <w:rsid w:val="006E312B"/>
    <w:rsid w:val="006E44C4"/>
    <w:rsid w:val="006E4ED8"/>
    <w:rsid w:val="006F1C30"/>
    <w:rsid w:val="006F2A82"/>
    <w:rsid w:val="006F3DAA"/>
    <w:rsid w:val="006F40E2"/>
    <w:rsid w:val="006F6489"/>
    <w:rsid w:val="006F7551"/>
    <w:rsid w:val="006F7B84"/>
    <w:rsid w:val="0070534D"/>
    <w:rsid w:val="0070577C"/>
    <w:rsid w:val="00711AF8"/>
    <w:rsid w:val="007132B3"/>
    <w:rsid w:val="00714BEF"/>
    <w:rsid w:val="007159B0"/>
    <w:rsid w:val="00724510"/>
    <w:rsid w:val="007260AA"/>
    <w:rsid w:val="007308EA"/>
    <w:rsid w:val="00730C48"/>
    <w:rsid w:val="007319ED"/>
    <w:rsid w:val="00732322"/>
    <w:rsid w:val="00733C2A"/>
    <w:rsid w:val="007364F0"/>
    <w:rsid w:val="00737127"/>
    <w:rsid w:val="00737FEE"/>
    <w:rsid w:val="00742146"/>
    <w:rsid w:val="00743C57"/>
    <w:rsid w:val="00743C9B"/>
    <w:rsid w:val="00744C72"/>
    <w:rsid w:val="00751605"/>
    <w:rsid w:val="00756B58"/>
    <w:rsid w:val="00756E2C"/>
    <w:rsid w:val="00757019"/>
    <w:rsid w:val="007606F6"/>
    <w:rsid w:val="00761846"/>
    <w:rsid w:val="00766138"/>
    <w:rsid w:val="007672C9"/>
    <w:rsid w:val="007708D9"/>
    <w:rsid w:val="00774565"/>
    <w:rsid w:val="00775732"/>
    <w:rsid w:val="00775C38"/>
    <w:rsid w:val="007764F2"/>
    <w:rsid w:val="00776A77"/>
    <w:rsid w:val="00776EF6"/>
    <w:rsid w:val="00781367"/>
    <w:rsid w:val="00782141"/>
    <w:rsid w:val="00786030"/>
    <w:rsid w:val="00786BB9"/>
    <w:rsid w:val="00787705"/>
    <w:rsid w:val="007918D3"/>
    <w:rsid w:val="00791B51"/>
    <w:rsid w:val="007951F2"/>
    <w:rsid w:val="0079764F"/>
    <w:rsid w:val="00797716"/>
    <w:rsid w:val="00797762"/>
    <w:rsid w:val="007977CC"/>
    <w:rsid w:val="007A01A0"/>
    <w:rsid w:val="007A2229"/>
    <w:rsid w:val="007A4588"/>
    <w:rsid w:val="007A58A9"/>
    <w:rsid w:val="007B1FC5"/>
    <w:rsid w:val="007B2D8A"/>
    <w:rsid w:val="007B7215"/>
    <w:rsid w:val="007C08A9"/>
    <w:rsid w:val="007C70F8"/>
    <w:rsid w:val="007D4CFB"/>
    <w:rsid w:val="007D6FE4"/>
    <w:rsid w:val="007D7F77"/>
    <w:rsid w:val="007E062A"/>
    <w:rsid w:val="007E06EF"/>
    <w:rsid w:val="007E0CEC"/>
    <w:rsid w:val="007E1D0B"/>
    <w:rsid w:val="007E4225"/>
    <w:rsid w:val="007E5589"/>
    <w:rsid w:val="007E7BD0"/>
    <w:rsid w:val="007F1C60"/>
    <w:rsid w:val="007F2E98"/>
    <w:rsid w:val="007F3C93"/>
    <w:rsid w:val="00801C21"/>
    <w:rsid w:val="008058DC"/>
    <w:rsid w:val="00806468"/>
    <w:rsid w:val="00811610"/>
    <w:rsid w:val="00811D70"/>
    <w:rsid w:val="00811E5E"/>
    <w:rsid w:val="008121D6"/>
    <w:rsid w:val="00816084"/>
    <w:rsid w:val="0082146E"/>
    <w:rsid w:val="00825382"/>
    <w:rsid w:val="00825C3E"/>
    <w:rsid w:val="00826A7A"/>
    <w:rsid w:val="00830BC9"/>
    <w:rsid w:val="00833C35"/>
    <w:rsid w:val="00834AE7"/>
    <w:rsid w:val="00840A97"/>
    <w:rsid w:val="00843384"/>
    <w:rsid w:val="00846410"/>
    <w:rsid w:val="00850741"/>
    <w:rsid w:val="008531C8"/>
    <w:rsid w:val="00856C79"/>
    <w:rsid w:val="008575CF"/>
    <w:rsid w:val="00870CD7"/>
    <w:rsid w:val="008714B4"/>
    <w:rsid w:val="008727BF"/>
    <w:rsid w:val="00872E09"/>
    <w:rsid w:val="00873E31"/>
    <w:rsid w:val="00874088"/>
    <w:rsid w:val="0087408A"/>
    <w:rsid w:val="00874895"/>
    <w:rsid w:val="00876160"/>
    <w:rsid w:val="008778CF"/>
    <w:rsid w:val="00880A08"/>
    <w:rsid w:val="00882EFD"/>
    <w:rsid w:val="00883A67"/>
    <w:rsid w:val="0088521F"/>
    <w:rsid w:val="00887EE4"/>
    <w:rsid w:val="00891BB4"/>
    <w:rsid w:val="008936A1"/>
    <w:rsid w:val="0089392A"/>
    <w:rsid w:val="00896413"/>
    <w:rsid w:val="008A361D"/>
    <w:rsid w:val="008A40AA"/>
    <w:rsid w:val="008A4BF8"/>
    <w:rsid w:val="008A6A6A"/>
    <w:rsid w:val="008B4D20"/>
    <w:rsid w:val="008C1C1D"/>
    <w:rsid w:val="008C20B2"/>
    <w:rsid w:val="008C760C"/>
    <w:rsid w:val="008D33D2"/>
    <w:rsid w:val="008D5672"/>
    <w:rsid w:val="008D5B90"/>
    <w:rsid w:val="008D6395"/>
    <w:rsid w:val="008E4299"/>
    <w:rsid w:val="008E57B6"/>
    <w:rsid w:val="008E77E4"/>
    <w:rsid w:val="008F0EC8"/>
    <w:rsid w:val="008F1ED0"/>
    <w:rsid w:val="008F20BE"/>
    <w:rsid w:val="008F2657"/>
    <w:rsid w:val="008F2A16"/>
    <w:rsid w:val="008F34A2"/>
    <w:rsid w:val="008F43A4"/>
    <w:rsid w:val="008F5232"/>
    <w:rsid w:val="008F5C27"/>
    <w:rsid w:val="00900388"/>
    <w:rsid w:val="00900B56"/>
    <w:rsid w:val="00902E7A"/>
    <w:rsid w:val="0090695C"/>
    <w:rsid w:val="009073F1"/>
    <w:rsid w:val="00910098"/>
    <w:rsid w:val="009119F3"/>
    <w:rsid w:val="00911FAE"/>
    <w:rsid w:val="00912131"/>
    <w:rsid w:val="00912173"/>
    <w:rsid w:val="00914AA3"/>
    <w:rsid w:val="00914BF5"/>
    <w:rsid w:val="009209DE"/>
    <w:rsid w:val="009219CE"/>
    <w:rsid w:val="00921FF9"/>
    <w:rsid w:val="009244AA"/>
    <w:rsid w:val="00925585"/>
    <w:rsid w:val="00925922"/>
    <w:rsid w:val="009259C8"/>
    <w:rsid w:val="00926212"/>
    <w:rsid w:val="009302FE"/>
    <w:rsid w:val="00930C66"/>
    <w:rsid w:val="00930E35"/>
    <w:rsid w:val="00930EC7"/>
    <w:rsid w:val="009312B6"/>
    <w:rsid w:val="00931D0D"/>
    <w:rsid w:val="00931E46"/>
    <w:rsid w:val="00932D65"/>
    <w:rsid w:val="00935A13"/>
    <w:rsid w:val="00936C74"/>
    <w:rsid w:val="0093779B"/>
    <w:rsid w:val="00941034"/>
    <w:rsid w:val="0094311B"/>
    <w:rsid w:val="00946A37"/>
    <w:rsid w:val="0095031D"/>
    <w:rsid w:val="00952766"/>
    <w:rsid w:val="00955B15"/>
    <w:rsid w:val="009573CB"/>
    <w:rsid w:val="009577CB"/>
    <w:rsid w:val="00957B2E"/>
    <w:rsid w:val="009608C8"/>
    <w:rsid w:val="009614D0"/>
    <w:rsid w:val="009671DE"/>
    <w:rsid w:val="00967A8A"/>
    <w:rsid w:val="00970CAF"/>
    <w:rsid w:val="00974E51"/>
    <w:rsid w:val="009801ED"/>
    <w:rsid w:val="00981591"/>
    <w:rsid w:val="00982619"/>
    <w:rsid w:val="00984EF3"/>
    <w:rsid w:val="00984FFC"/>
    <w:rsid w:val="00985CEA"/>
    <w:rsid w:val="00987772"/>
    <w:rsid w:val="00990D42"/>
    <w:rsid w:val="00992FC7"/>
    <w:rsid w:val="00993AA2"/>
    <w:rsid w:val="00993EB7"/>
    <w:rsid w:val="00994FDC"/>
    <w:rsid w:val="00995EF0"/>
    <w:rsid w:val="009967DC"/>
    <w:rsid w:val="00997119"/>
    <w:rsid w:val="00997D02"/>
    <w:rsid w:val="009B3E31"/>
    <w:rsid w:val="009B4C02"/>
    <w:rsid w:val="009B4D18"/>
    <w:rsid w:val="009B722C"/>
    <w:rsid w:val="009B72E2"/>
    <w:rsid w:val="009C6175"/>
    <w:rsid w:val="009C6D72"/>
    <w:rsid w:val="009D0AA0"/>
    <w:rsid w:val="009D200E"/>
    <w:rsid w:val="009D4F3D"/>
    <w:rsid w:val="009D5156"/>
    <w:rsid w:val="009D661C"/>
    <w:rsid w:val="009D6697"/>
    <w:rsid w:val="009D7DCC"/>
    <w:rsid w:val="009E224B"/>
    <w:rsid w:val="009E3204"/>
    <w:rsid w:val="009E35A1"/>
    <w:rsid w:val="009E3D0D"/>
    <w:rsid w:val="009E5585"/>
    <w:rsid w:val="009F07C2"/>
    <w:rsid w:val="009F07C3"/>
    <w:rsid w:val="009F3EEA"/>
    <w:rsid w:val="00A01C05"/>
    <w:rsid w:val="00A04FF0"/>
    <w:rsid w:val="00A0543B"/>
    <w:rsid w:val="00A06283"/>
    <w:rsid w:val="00A10042"/>
    <w:rsid w:val="00A10060"/>
    <w:rsid w:val="00A10AF8"/>
    <w:rsid w:val="00A16FB8"/>
    <w:rsid w:val="00A2233D"/>
    <w:rsid w:val="00A24BD5"/>
    <w:rsid w:val="00A2634D"/>
    <w:rsid w:val="00A270D2"/>
    <w:rsid w:val="00A275B1"/>
    <w:rsid w:val="00A276D2"/>
    <w:rsid w:val="00A31284"/>
    <w:rsid w:val="00A31EA9"/>
    <w:rsid w:val="00A33B0F"/>
    <w:rsid w:val="00A35E91"/>
    <w:rsid w:val="00A3694B"/>
    <w:rsid w:val="00A41C71"/>
    <w:rsid w:val="00A45275"/>
    <w:rsid w:val="00A453EA"/>
    <w:rsid w:val="00A459B8"/>
    <w:rsid w:val="00A468DA"/>
    <w:rsid w:val="00A46D0D"/>
    <w:rsid w:val="00A479BB"/>
    <w:rsid w:val="00A562B8"/>
    <w:rsid w:val="00A621C7"/>
    <w:rsid w:val="00A630E9"/>
    <w:rsid w:val="00A65F0D"/>
    <w:rsid w:val="00A66995"/>
    <w:rsid w:val="00A66A4D"/>
    <w:rsid w:val="00A708A5"/>
    <w:rsid w:val="00A809A6"/>
    <w:rsid w:val="00A8257A"/>
    <w:rsid w:val="00A827A6"/>
    <w:rsid w:val="00A84692"/>
    <w:rsid w:val="00A852FD"/>
    <w:rsid w:val="00A87ADA"/>
    <w:rsid w:val="00AA67BC"/>
    <w:rsid w:val="00AA7448"/>
    <w:rsid w:val="00AB0CAF"/>
    <w:rsid w:val="00AB1000"/>
    <w:rsid w:val="00AB2C0D"/>
    <w:rsid w:val="00AB3204"/>
    <w:rsid w:val="00AB39B9"/>
    <w:rsid w:val="00AB5043"/>
    <w:rsid w:val="00AB5A64"/>
    <w:rsid w:val="00AB64D0"/>
    <w:rsid w:val="00AB6B17"/>
    <w:rsid w:val="00AC1AE2"/>
    <w:rsid w:val="00AC4041"/>
    <w:rsid w:val="00AC45A1"/>
    <w:rsid w:val="00AC4908"/>
    <w:rsid w:val="00AD079C"/>
    <w:rsid w:val="00AD0C1C"/>
    <w:rsid w:val="00AD0E2C"/>
    <w:rsid w:val="00AD1C3B"/>
    <w:rsid w:val="00AD2B6F"/>
    <w:rsid w:val="00AD3FA0"/>
    <w:rsid w:val="00AD4B5A"/>
    <w:rsid w:val="00AD6172"/>
    <w:rsid w:val="00AE3AB9"/>
    <w:rsid w:val="00AE56EF"/>
    <w:rsid w:val="00AE6266"/>
    <w:rsid w:val="00AF358F"/>
    <w:rsid w:val="00AF4556"/>
    <w:rsid w:val="00AF5310"/>
    <w:rsid w:val="00AF6D78"/>
    <w:rsid w:val="00AF78DD"/>
    <w:rsid w:val="00B00474"/>
    <w:rsid w:val="00B030CE"/>
    <w:rsid w:val="00B058E3"/>
    <w:rsid w:val="00B0631B"/>
    <w:rsid w:val="00B06FA4"/>
    <w:rsid w:val="00B07488"/>
    <w:rsid w:val="00B077CA"/>
    <w:rsid w:val="00B07BDA"/>
    <w:rsid w:val="00B118C0"/>
    <w:rsid w:val="00B12043"/>
    <w:rsid w:val="00B1222E"/>
    <w:rsid w:val="00B13057"/>
    <w:rsid w:val="00B14841"/>
    <w:rsid w:val="00B15D13"/>
    <w:rsid w:val="00B17FFD"/>
    <w:rsid w:val="00B20B91"/>
    <w:rsid w:val="00B21A63"/>
    <w:rsid w:val="00B2656D"/>
    <w:rsid w:val="00B30AE0"/>
    <w:rsid w:val="00B30FA6"/>
    <w:rsid w:val="00B33559"/>
    <w:rsid w:val="00B3428F"/>
    <w:rsid w:val="00B35602"/>
    <w:rsid w:val="00B36F8A"/>
    <w:rsid w:val="00B372DE"/>
    <w:rsid w:val="00B421D0"/>
    <w:rsid w:val="00B43214"/>
    <w:rsid w:val="00B45461"/>
    <w:rsid w:val="00B455AC"/>
    <w:rsid w:val="00B45797"/>
    <w:rsid w:val="00B45A97"/>
    <w:rsid w:val="00B45EE7"/>
    <w:rsid w:val="00B46CB6"/>
    <w:rsid w:val="00B50C0C"/>
    <w:rsid w:val="00B5101C"/>
    <w:rsid w:val="00B5446F"/>
    <w:rsid w:val="00B546D1"/>
    <w:rsid w:val="00B55FAF"/>
    <w:rsid w:val="00B56B9A"/>
    <w:rsid w:val="00B61C34"/>
    <w:rsid w:val="00B63307"/>
    <w:rsid w:val="00B65FC6"/>
    <w:rsid w:val="00B704CB"/>
    <w:rsid w:val="00B71B2D"/>
    <w:rsid w:val="00B71CE1"/>
    <w:rsid w:val="00B7793D"/>
    <w:rsid w:val="00B83398"/>
    <w:rsid w:val="00B90050"/>
    <w:rsid w:val="00B91E62"/>
    <w:rsid w:val="00B95B26"/>
    <w:rsid w:val="00BA020F"/>
    <w:rsid w:val="00BA6362"/>
    <w:rsid w:val="00BB1C90"/>
    <w:rsid w:val="00BC3DD8"/>
    <w:rsid w:val="00BC4679"/>
    <w:rsid w:val="00BC4FA0"/>
    <w:rsid w:val="00BC6501"/>
    <w:rsid w:val="00BC66C8"/>
    <w:rsid w:val="00BD0420"/>
    <w:rsid w:val="00BD171B"/>
    <w:rsid w:val="00BD3D8D"/>
    <w:rsid w:val="00BD5C3B"/>
    <w:rsid w:val="00BD6382"/>
    <w:rsid w:val="00BE1C2C"/>
    <w:rsid w:val="00BE40FC"/>
    <w:rsid w:val="00BE5B0B"/>
    <w:rsid w:val="00BE60C4"/>
    <w:rsid w:val="00BF092E"/>
    <w:rsid w:val="00BF3A28"/>
    <w:rsid w:val="00BF3FB3"/>
    <w:rsid w:val="00BF4129"/>
    <w:rsid w:val="00BF6922"/>
    <w:rsid w:val="00BF6C06"/>
    <w:rsid w:val="00BF6D25"/>
    <w:rsid w:val="00BF768B"/>
    <w:rsid w:val="00BF772E"/>
    <w:rsid w:val="00C0300A"/>
    <w:rsid w:val="00C04D23"/>
    <w:rsid w:val="00C10C17"/>
    <w:rsid w:val="00C14F53"/>
    <w:rsid w:val="00C15B79"/>
    <w:rsid w:val="00C16ECC"/>
    <w:rsid w:val="00C1702C"/>
    <w:rsid w:val="00C17377"/>
    <w:rsid w:val="00C21957"/>
    <w:rsid w:val="00C32E7D"/>
    <w:rsid w:val="00C34227"/>
    <w:rsid w:val="00C37B15"/>
    <w:rsid w:val="00C453AB"/>
    <w:rsid w:val="00C470C6"/>
    <w:rsid w:val="00C475FB"/>
    <w:rsid w:val="00C507CF"/>
    <w:rsid w:val="00C51238"/>
    <w:rsid w:val="00C5179D"/>
    <w:rsid w:val="00C52448"/>
    <w:rsid w:val="00C52924"/>
    <w:rsid w:val="00C52A54"/>
    <w:rsid w:val="00C52CA3"/>
    <w:rsid w:val="00C5702E"/>
    <w:rsid w:val="00C570ED"/>
    <w:rsid w:val="00C5767A"/>
    <w:rsid w:val="00C618CC"/>
    <w:rsid w:val="00C62053"/>
    <w:rsid w:val="00C64392"/>
    <w:rsid w:val="00C65005"/>
    <w:rsid w:val="00C65AE3"/>
    <w:rsid w:val="00C71C29"/>
    <w:rsid w:val="00C75DF8"/>
    <w:rsid w:val="00C81A61"/>
    <w:rsid w:val="00C82737"/>
    <w:rsid w:val="00C94372"/>
    <w:rsid w:val="00C94C15"/>
    <w:rsid w:val="00C9574B"/>
    <w:rsid w:val="00CA1413"/>
    <w:rsid w:val="00CA6085"/>
    <w:rsid w:val="00CA76A2"/>
    <w:rsid w:val="00CA77EB"/>
    <w:rsid w:val="00CB2326"/>
    <w:rsid w:val="00CB26C3"/>
    <w:rsid w:val="00CB4075"/>
    <w:rsid w:val="00CB4C17"/>
    <w:rsid w:val="00CB641B"/>
    <w:rsid w:val="00CC2BC1"/>
    <w:rsid w:val="00CC36EB"/>
    <w:rsid w:val="00CC5896"/>
    <w:rsid w:val="00CC6C59"/>
    <w:rsid w:val="00CC6C65"/>
    <w:rsid w:val="00CC796B"/>
    <w:rsid w:val="00CD326A"/>
    <w:rsid w:val="00CD36A2"/>
    <w:rsid w:val="00CD4B52"/>
    <w:rsid w:val="00CD557A"/>
    <w:rsid w:val="00CD789E"/>
    <w:rsid w:val="00CD7AD2"/>
    <w:rsid w:val="00CE33AF"/>
    <w:rsid w:val="00CE36DC"/>
    <w:rsid w:val="00CE64E8"/>
    <w:rsid w:val="00CE7204"/>
    <w:rsid w:val="00CE760F"/>
    <w:rsid w:val="00CE761E"/>
    <w:rsid w:val="00CF052F"/>
    <w:rsid w:val="00CF17B3"/>
    <w:rsid w:val="00CF42E9"/>
    <w:rsid w:val="00CF52ED"/>
    <w:rsid w:val="00CF62B8"/>
    <w:rsid w:val="00CF779E"/>
    <w:rsid w:val="00CF7916"/>
    <w:rsid w:val="00D00B05"/>
    <w:rsid w:val="00D058A9"/>
    <w:rsid w:val="00D1209A"/>
    <w:rsid w:val="00D12A93"/>
    <w:rsid w:val="00D13052"/>
    <w:rsid w:val="00D146EC"/>
    <w:rsid w:val="00D2159B"/>
    <w:rsid w:val="00D2289B"/>
    <w:rsid w:val="00D2339D"/>
    <w:rsid w:val="00D24C17"/>
    <w:rsid w:val="00D26712"/>
    <w:rsid w:val="00D30537"/>
    <w:rsid w:val="00D306EF"/>
    <w:rsid w:val="00D30A7D"/>
    <w:rsid w:val="00D30F21"/>
    <w:rsid w:val="00D33F9F"/>
    <w:rsid w:val="00D3467F"/>
    <w:rsid w:val="00D35522"/>
    <w:rsid w:val="00D40B2C"/>
    <w:rsid w:val="00D4258E"/>
    <w:rsid w:val="00D45CFF"/>
    <w:rsid w:val="00D5122E"/>
    <w:rsid w:val="00D52E81"/>
    <w:rsid w:val="00D55AD0"/>
    <w:rsid w:val="00D62472"/>
    <w:rsid w:val="00D628F3"/>
    <w:rsid w:val="00D63EB3"/>
    <w:rsid w:val="00D640B9"/>
    <w:rsid w:val="00D670A5"/>
    <w:rsid w:val="00D72163"/>
    <w:rsid w:val="00D725D8"/>
    <w:rsid w:val="00D7349A"/>
    <w:rsid w:val="00D74A88"/>
    <w:rsid w:val="00D7694A"/>
    <w:rsid w:val="00D85A0A"/>
    <w:rsid w:val="00D87277"/>
    <w:rsid w:val="00D9135A"/>
    <w:rsid w:val="00D91F7E"/>
    <w:rsid w:val="00D931AD"/>
    <w:rsid w:val="00D95A03"/>
    <w:rsid w:val="00D97013"/>
    <w:rsid w:val="00D970AC"/>
    <w:rsid w:val="00D97955"/>
    <w:rsid w:val="00DA08C7"/>
    <w:rsid w:val="00DA30CE"/>
    <w:rsid w:val="00DA4642"/>
    <w:rsid w:val="00DA4FD6"/>
    <w:rsid w:val="00DA552F"/>
    <w:rsid w:val="00DA5D60"/>
    <w:rsid w:val="00DA6639"/>
    <w:rsid w:val="00DA6BBB"/>
    <w:rsid w:val="00DB024A"/>
    <w:rsid w:val="00DB19E2"/>
    <w:rsid w:val="00DB256A"/>
    <w:rsid w:val="00DB2885"/>
    <w:rsid w:val="00DB28B9"/>
    <w:rsid w:val="00DB3328"/>
    <w:rsid w:val="00DB43F5"/>
    <w:rsid w:val="00DB6427"/>
    <w:rsid w:val="00DB6B43"/>
    <w:rsid w:val="00DC3811"/>
    <w:rsid w:val="00DC4E43"/>
    <w:rsid w:val="00DC5E29"/>
    <w:rsid w:val="00DC6136"/>
    <w:rsid w:val="00DD2BF2"/>
    <w:rsid w:val="00DD69A5"/>
    <w:rsid w:val="00DD766B"/>
    <w:rsid w:val="00DE15B2"/>
    <w:rsid w:val="00DE1F14"/>
    <w:rsid w:val="00DE2220"/>
    <w:rsid w:val="00DE297C"/>
    <w:rsid w:val="00DE2F62"/>
    <w:rsid w:val="00DE3EDA"/>
    <w:rsid w:val="00DE4F42"/>
    <w:rsid w:val="00DF23DA"/>
    <w:rsid w:val="00DF28D7"/>
    <w:rsid w:val="00DF2D9C"/>
    <w:rsid w:val="00DF35EE"/>
    <w:rsid w:val="00E00483"/>
    <w:rsid w:val="00E01688"/>
    <w:rsid w:val="00E0170A"/>
    <w:rsid w:val="00E0281B"/>
    <w:rsid w:val="00E06020"/>
    <w:rsid w:val="00E13F9F"/>
    <w:rsid w:val="00E1727E"/>
    <w:rsid w:val="00E175E9"/>
    <w:rsid w:val="00E177FC"/>
    <w:rsid w:val="00E21E3D"/>
    <w:rsid w:val="00E23427"/>
    <w:rsid w:val="00E25E37"/>
    <w:rsid w:val="00E26131"/>
    <w:rsid w:val="00E30728"/>
    <w:rsid w:val="00E319B5"/>
    <w:rsid w:val="00E4267A"/>
    <w:rsid w:val="00E430BF"/>
    <w:rsid w:val="00E43DA0"/>
    <w:rsid w:val="00E45D9F"/>
    <w:rsid w:val="00E47C13"/>
    <w:rsid w:val="00E50D8C"/>
    <w:rsid w:val="00E542CC"/>
    <w:rsid w:val="00E55307"/>
    <w:rsid w:val="00E55AA7"/>
    <w:rsid w:val="00E55ECA"/>
    <w:rsid w:val="00E57942"/>
    <w:rsid w:val="00E60FE4"/>
    <w:rsid w:val="00E63A5B"/>
    <w:rsid w:val="00E652CE"/>
    <w:rsid w:val="00E6600D"/>
    <w:rsid w:val="00E66228"/>
    <w:rsid w:val="00E74B26"/>
    <w:rsid w:val="00E75D87"/>
    <w:rsid w:val="00E769F5"/>
    <w:rsid w:val="00E76E50"/>
    <w:rsid w:val="00E77FE3"/>
    <w:rsid w:val="00E85315"/>
    <w:rsid w:val="00E95490"/>
    <w:rsid w:val="00EA1EEA"/>
    <w:rsid w:val="00EA23B7"/>
    <w:rsid w:val="00EA6244"/>
    <w:rsid w:val="00EA7AC1"/>
    <w:rsid w:val="00EB27D3"/>
    <w:rsid w:val="00EB5E98"/>
    <w:rsid w:val="00EB69B5"/>
    <w:rsid w:val="00EB6F0F"/>
    <w:rsid w:val="00EB704E"/>
    <w:rsid w:val="00EB7785"/>
    <w:rsid w:val="00EC2ACA"/>
    <w:rsid w:val="00EC5262"/>
    <w:rsid w:val="00ED0F8F"/>
    <w:rsid w:val="00ED255B"/>
    <w:rsid w:val="00ED5BA7"/>
    <w:rsid w:val="00EE0D49"/>
    <w:rsid w:val="00EE1A93"/>
    <w:rsid w:val="00EE3782"/>
    <w:rsid w:val="00EE73B2"/>
    <w:rsid w:val="00EF26F2"/>
    <w:rsid w:val="00EF2FD6"/>
    <w:rsid w:val="00EF339E"/>
    <w:rsid w:val="00EF6447"/>
    <w:rsid w:val="00EF7312"/>
    <w:rsid w:val="00F023DF"/>
    <w:rsid w:val="00F02A55"/>
    <w:rsid w:val="00F111A7"/>
    <w:rsid w:val="00F121F2"/>
    <w:rsid w:val="00F13B20"/>
    <w:rsid w:val="00F146DB"/>
    <w:rsid w:val="00F17BCB"/>
    <w:rsid w:val="00F2317A"/>
    <w:rsid w:val="00F23625"/>
    <w:rsid w:val="00F23AC9"/>
    <w:rsid w:val="00F24A64"/>
    <w:rsid w:val="00F24E69"/>
    <w:rsid w:val="00F252A8"/>
    <w:rsid w:val="00F31154"/>
    <w:rsid w:val="00F31493"/>
    <w:rsid w:val="00F31A57"/>
    <w:rsid w:val="00F3212C"/>
    <w:rsid w:val="00F3388D"/>
    <w:rsid w:val="00F37E99"/>
    <w:rsid w:val="00F40544"/>
    <w:rsid w:val="00F46E7C"/>
    <w:rsid w:val="00F46F43"/>
    <w:rsid w:val="00F5152D"/>
    <w:rsid w:val="00F53B7A"/>
    <w:rsid w:val="00F5423D"/>
    <w:rsid w:val="00F55545"/>
    <w:rsid w:val="00F55EC1"/>
    <w:rsid w:val="00F57CF3"/>
    <w:rsid w:val="00F6205A"/>
    <w:rsid w:val="00F635A2"/>
    <w:rsid w:val="00F63B44"/>
    <w:rsid w:val="00F6578B"/>
    <w:rsid w:val="00F66E26"/>
    <w:rsid w:val="00F678A2"/>
    <w:rsid w:val="00F74800"/>
    <w:rsid w:val="00F75FB9"/>
    <w:rsid w:val="00F7712A"/>
    <w:rsid w:val="00F80039"/>
    <w:rsid w:val="00F80471"/>
    <w:rsid w:val="00F83028"/>
    <w:rsid w:val="00F8454A"/>
    <w:rsid w:val="00F85340"/>
    <w:rsid w:val="00F860F6"/>
    <w:rsid w:val="00F879EB"/>
    <w:rsid w:val="00F9373F"/>
    <w:rsid w:val="00FA06EF"/>
    <w:rsid w:val="00FA4DE6"/>
    <w:rsid w:val="00FA7FDF"/>
    <w:rsid w:val="00FB1259"/>
    <w:rsid w:val="00FB2B83"/>
    <w:rsid w:val="00FB2E4F"/>
    <w:rsid w:val="00FB3393"/>
    <w:rsid w:val="00FB46C6"/>
    <w:rsid w:val="00FB6A2B"/>
    <w:rsid w:val="00FB7721"/>
    <w:rsid w:val="00FC0882"/>
    <w:rsid w:val="00FC3F98"/>
    <w:rsid w:val="00FC4513"/>
    <w:rsid w:val="00FD1A16"/>
    <w:rsid w:val="00FD2964"/>
    <w:rsid w:val="00FD60AA"/>
    <w:rsid w:val="00FD73DE"/>
    <w:rsid w:val="00FE13FD"/>
    <w:rsid w:val="00FE7E68"/>
    <w:rsid w:val="00FF06A8"/>
    <w:rsid w:val="00FF3AD1"/>
    <w:rsid w:val="00FF53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E9740F-FA65-4DFA-A5BC-FD62B3344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7FDF"/>
    <w:pPr>
      <w:autoSpaceDE w:val="0"/>
      <w:autoSpaceDN w:val="0"/>
      <w:adjustRightInd w:val="0"/>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A7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ий HTML Знак"/>
    <w:basedOn w:val="a0"/>
    <w:link w:val="HTML"/>
    <w:uiPriority w:val="99"/>
    <w:rsid w:val="00FA7FDF"/>
    <w:rPr>
      <w:rFonts w:ascii="Courier New" w:eastAsia="Times New Roman" w:hAnsi="Courier New" w:cs="Courier New"/>
      <w:sz w:val="24"/>
      <w:szCs w:val="24"/>
      <w:lang w:val="ru-RU" w:eastAsia="uk-UA"/>
    </w:rPr>
  </w:style>
  <w:style w:type="paragraph" w:styleId="a3">
    <w:name w:val="Body Text"/>
    <w:basedOn w:val="a"/>
    <w:link w:val="a4"/>
    <w:uiPriority w:val="99"/>
    <w:unhideWhenUsed/>
    <w:rsid w:val="00FA7FDF"/>
    <w:pPr>
      <w:spacing w:after="120"/>
    </w:pPr>
  </w:style>
  <w:style w:type="character" w:customStyle="1" w:styleId="a4">
    <w:name w:val="Основний текст Знак"/>
    <w:basedOn w:val="a0"/>
    <w:link w:val="a3"/>
    <w:uiPriority w:val="99"/>
    <w:rsid w:val="00FA7FDF"/>
    <w:rPr>
      <w:rFonts w:ascii="Times New Roman" w:eastAsia="Times New Roman" w:hAnsi="Times New Roman" w:cs="Times New Roman"/>
      <w:sz w:val="24"/>
      <w:szCs w:val="24"/>
      <w:lang w:val="ru-RU" w:eastAsia="uk-UA"/>
    </w:rPr>
  </w:style>
  <w:style w:type="paragraph" w:styleId="a5">
    <w:name w:val="Body Text Indent"/>
    <w:basedOn w:val="a"/>
    <w:link w:val="a6"/>
    <w:uiPriority w:val="99"/>
    <w:unhideWhenUsed/>
    <w:rsid w:val="00FA7FDF"/>
    <w:pPr>
      <w:spacing w:after="120"/>
      <w:ind w:left="283"/>
    </w:pPr>
  </w:style>
  <w:style w:type="character" w:customStyle="1" w:styleId="a6">
    <w:name w:val="Основний текст з відступом Знак"/>
    <w:basedOn w:val="a0"/>
    <w:link w:val="a5"/>
    <w:uiPriority w:val="99"/>
    <w:rsid w:val="00FA7FDF"/>
    <w:rPr>
      <w:rFonts w:ascii="Times New Roman" w:eastAsia="Times New Roman" w:hAnsi="Times New Roman" w:cs="Times New Roman"/>
      <w:sz w:val="24"/>
      <w:szCs w:val="24"/>
      <w:lang w:val="ru-RU" w:eastAsia="uk-UA"/>
    </w:rPr>
  </w:style>
  <w:style w:type="paragraph" w:styleId="2">
    <w:name w:val="Body Text 2"/>
    <w:basedOn w:val="a"/>
    <w:link w:val="20"/>
    <w:uiPriority w:val="99"/>
    <w:unhideWhenUsed/>
    <w:rsid w:val="00FA7FDF"/>
    <w:pPr>
      <w:ind w:right="1019"/>
      <w:jc w:val="both"/>
    </w:pPr>
    <w:rPr>
      <w:rFonts w:ascii="Peterburg" w:hAnsi="Peterburg" w:cs="Peterburg"/>
      <w:b/>
      <w:bCs/>
      <w:sz w:val="28"/>
      <w:szCs w:val="28"/>
    </w:rPr>
  </w:style>
  <w:style w:type="character" w:customStyle="1" w:styleId="20">
    <w:name w:val="Основний текст 2 Знак"/>
    <w:basedOn w:val="a0"/>
    <w:link w:val="2"/>
    <w:uiPriority w:val="99"/>
    <w:rsid w:val="00FA7FDF"/>
    <w:rPr>
      <w:rFonts w:ascii="Peterburg" w:eastAsia="Times New Roman" w:hAnsi="Peterburg" w:cs="Peterburg"/>
      <w:b/>
      <w:bCs/>
      <w:sz w:val="28"/>
      <w:szCs w:val="28"/>
      <w:lang w:val="ru-RU" w:eastAsia="uk-UA"/>
    </w:rPr>
  </w:style>
  <w:style w:type="paragraph" w:styleId="a7">
    <w:name w:val="Block Text"/>
    <w:basedOn w:val="a"/>
    <w:semiHidden/>
    <w:unhideWhenUsed/>
    <w:rsid w:val="00FA7FDF"/>
    <w:pPr>
      <w:autoSpaceDE/>
      <w:autoSpaceDN/>
      <w:adjustRightInd/>
      <w:spacing w:line="232" w:lineRule="auto"/>
      <w:ind w:left="180" w:right="781"/>
      <w:jc w:val="both"/>
    </w:pPr>
    <w:rPr>
      <w:rFonts w:ascii="Peterburg" w:hAnsi="Peterburg"/>
      <w:b/>
      <w:sz w:val="28"/>
      <w:szCs w:val="20"/>
      <w:lang w:eastAsia="ru-RU"/>
    </w:rPr>
  </w:style>
  <w:style w:type="paragraph" w:customStyle="1" w:styleId="p1">
    <w:name w:val="p1"/>
    <w:basedOn w:val="a"/>
    <w:rsid w:val="00FA7FDF"/>
    <w:pPr>
      <w:spacing w:before="100" w:after="100"/>
    </w:pPr>
    <w:rPr>
      <w:rFonts w:ascii="Arial" w:hAnsi="Arial" w:cs="Arial"/>
      <w:b/>
      <w:bCs/>
      <w:color w:val="000080"/>
    </w:rPr>
  </w:style>
  <w:style w:type="paragraph" w:customStyle="1" w:styleId="tit">
    <w:name w:val="tit"/>
    <w:basedOn w:val="a"/>
    <w:uiPriority w:val="99"/>
    <w:rsid w:val="00FA7FDF"/>
    <w:pPr>
      <w:spacing w:before="100" w:after="100"/>
    </w:pPr>
  </w:style>
  <w:style w:type="paragraph" w:customStyle="1" w:styleId="rvps2">
    <w:name w:val="rvps2"/>
    <w:basedOn w:val="a"/>
    <w:rsid w:val="00FA7FDF"/>
    <w:pPr>
      <w:spacing w:before="100" w:after="100"/>
    </w:pPr>
  </w:style>
  <w:style w:type="character" w:customStyle="1" w:styleId="s7d2086b4">
    <w:name w:val="s7d2086b4"/>
    <w:rsid w:val="00FA7FDF"/>
  </w:style>
  <w:style w:type="character" w:customStyle="1" w:styleId="rvts11">
    <w:name w:val="rvts11"/>
    <w:rsid w:val="00FA7FDF"/>
  </w:style>
  <w:style w:type="character" w:styleId="a8">
    <w:name w:val="Hyperlink"/>
    <w:basedOn w:val="a0"/>
    <w:uiPriority w:val="99"/>
    <w:semiHidden/>
    <w:unhideWhenUsed/>
    <w:rsid w:val="00751605"/>
    <w:rPr>
      <w:color w:val="0000FF"/>
      <w:u w:val="single"/>
    </w:rPr>
  </w:style>
  <w:style w:type="paragraph" w:styleId="a9">
    <w:name w:val="footnote text"/>
    <w:basedOn w:val="a"/>
    <w:link w:val="aa"/>
    <w:uiPriority w:val="99"/>
    <w:semiHidden/>
    <w:unhideWhenUsed/>
    <w:rsid w:val="00786030"/>
    <w:rPr>
      <w:sz w:val="20"/>
      <w:szCs w:val="20"/>
    </w:rPr>
  </w:style>
  <w:style w:type="character" w:customStyle="1" w:styleId="aa">
    <w:name w:val="Текст виноски Знак"/>
    <w:basedOn w:val="a0"/>
    <w:link w:val="a9"/>
    <w:uiPriority w:val="99"/>
    <w:semiHidden/>
    <w:rsid w:val="00786030"/>
    <w:rPr>
      <w:rFonts w:ascii="Times New Roman" w:eastAsia="Times New Roman" w:hAnsi="Times New Roman" w:cs="Times New Roman"/>
      <w:sz w:val="20"/>
      <w:szCs w:val="20"/>
      <w:lang w:val="uk-UA" w:eastAsia="uk-UA"/>
    </w:rPr>
  </w:style>
  <w:style w:type="character" w:styleId="ab">
    <w:name w:val="footnote reference"/>
    <w:basedOn w:val="a0"/>
    <w:uiPriority w:val="99"/>
    <w:semiHidden/>
    <w:unhideWhenUsed/>
    <w:rsid w:val="00786030"/>
    <w:rPr>
      <w:vertAlign w:val="superscript"/>
    </w:rPr>
  </w:style>
  <w:style w:type="paragraph" w:customStyle="1" w:styleId="1">
    <w:name w:val="Абзац списку1"/>
    <w:basedOn w:val="a"/>
    <w:rsid w:val="00296A67"/>
    <w:pPr>
      <w:autoSpaceDE/>
      <w:autoSpaceDN/>
      <w:adjustRightInd/>
      <w:spacing w:after="200" w:line="276" w:lineRule="auto"/>
      <w:ind w:left="720"/>
      <w:contextualSpacing/>
    </w:pPr>
    <w:rPr>
      <w:rFonts w:ascii="Calibri" w:hAnsi="Calibri"/>
      <w:sz w:val="22"/>
      <w:szCs w:val="22"/>
      <w:lang w:eastAsia="en-US"/>
    </w:rPr>
  </w:style>
  <w:style w:type="character" w:styleId="ac">
    <w:name w:val="Emphasis"/>
    <w:uiPriority w:val="20"/>
    <w:qFormat/>
    <w:rsid w:val="00B91E62"/>
    <w:rPr>
      <w:i/>
      <w:iCs/>
    </w:rPr>
  </w:style>
  <w:style w:type="paragraph" w:styleId="ad">
    <w:name w:val="Normal (Web)"/>
    <w:basedOn w:val="a"/>
    <w:uiPriority w:val="99"/>
    <w:unhideWhenUsed/>
    <w:rsid w:val="005F3EF2"/>
    <w:pPr>
      <w:autoSpaceDE/>
      <w:autoSpaceDN/>
      <w:adjustRightInd/>
      <w:spacing w:before="100" w:beforeAutospacing="1" w:after="100" w:afterAutospacing="1"/>
    </w:pPr>
  </w:style>
  <w:style w:type="paragraph" w:customStyle="1" w:styleId="isselectedend">
    <w:name w:val="isselectedend"/>
    <w:basedOn w:val="a"/>
    <w:rsid w:val="00131B09"/>
    <w:pPr>
      <w:autoSpaceDE/>
      <w:autoSpaceDN/>
      <w:adjustRightInd/>
      <w:spacing w:before="100" w:beforeAutospacing="1" w:after="100" w:afterAutospacing="1"/>
    </w:pPr>
  </w:style>
  <w:style w:type="paragraph" w:customStyle="1" w:styleId="pdq2pgselectionanchorcontainer">
    <w:name w:val="pdq2pg_selectionanchorcontainer"/>
    <w:basedOn w:val="a"/>
    <w:rsid w:val="0008054E"/>
    <w:pPr>
      <w:autoSpaceDE/>
      <w:autoSpaceDN/>
      <w:adjustRightInd/>
      <w:spacing w:before="100" w:beforeAutospacing="1" w:after="100" w:afterAutospacing="1"/>
    </w:pPr>
  </w:style>
  <w:style w:type="character" w:styleId="ae">
    <w:name w:val="Strong"/>
    <w:basedOn w:val="a0"/>
    <w:uiPriority w:val="22"/>
    <w:qFormat/>
    <w:rsid w:val="000805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04516">
      <w:bodyDiv w:val="1"/>
      <w:marLeft w:val="0"/>
      <w:marRight w:val="0"/>
      <w:marTop w:val="0"/>
      <w:marBottom w:val="0"/>
      <w:divBdr>
        <w:top w:val="none" w:sz="0" w:space="0" w:color="auto"/>
        <w:left w:val="none" w:sz="0" w:space="0" w:color="auto"/>
        <w:bottom w:val="none" w:sz="0" w:space="0" w:color="auto"/>
        <w:right w:val="none" w:sz="0" w:space="0" w:color="auto"/>
      </w:divBdr>
    </w:div>
    <w:div w:id="286665700">
      <w:bodyDiv w:val="1"/>
      <w:marLeft w:val="0"/>
      <w:marRight w:val="0"/>
      <w:marTop w:val="0"/>
      <w:marBottom w:val="0"/>
      <w:divBdr>
        <w:top w:val="none" w:sz="0" w:space="0" w:color="auto"/>
        <w:left w:val="none" w:sz="0" w:space="0" w:color="auto"/>
        <w:bottom w:val="none" w:sz="0" w:space="0" w:color="auto"/>
        <w:right w:val="none" w:sz="0" w:space="0" w:color="auto"/>
      </w:divBdr>
    </w:div>
    <w:div w:id="438305175">
      <w:bodyDiv w:val="1"/>
      <w:marLeft w:val="0"/>
      <w:marRight w:val="0"/>
      <w:marTop w:val="0"/>
      <w:marBottom w:val="0"/>
      <w:divBdr>
        <w:top w:val="none" w:sz="0" w:space="0" w:color="auto"/>
        <w:left w:val="none" w:sz="0" w:space="0" w:color="auto"/>
        <w:bottom w:val="none" w:sz="0" w:space="0" w:color="auto"/>
        <w:right w:val="none" w:sz="0" w:space="0" w:color="auto"/>
      </w:divBdr>
    </w:div>
    <w:div w:id="654722595">
      <w:bodyDiv w:val="1"/>
      <w:marLeft w:val="0"/>
      <w:marRight w:val="0"/>
      <w:marTop w:val="0"/>
      <w:marBottom w:val="0"/>
      <w:divBdr>
        <w:top w:val="none" w:sz="0" w:space="0" w:color="auto"/>
        <w:left w:val="none" w:sz="0" w:space="0" w:color="auto"/>
        <w:bottom w:val="none" w:sz="0" w:space="0" w:color="auto"/>
        <w:right w:val="none" w:sz="0" w:space="0" w:color="auto"/>
      </w:divBdr>
    </w:div>
    <w:div w:id="694501438">
      <w:bodyDiv w:val="1"/>
      <w:marLeft w:val="0"/>
      <w:marRight w:val="0"/>
      <w:marTop w:val="0"/>
      <w:marBottom w:val="0"/>
      <w:divBdr>
        <w:top w:val="none" w:sz="0" w:space="0" w:color="auto"/>
        <w:left w:val="none" w:sz="0" w:space="0" w:color="auto"/>
        <w:bottom w:val="none" w:sz="0" w:space="0" w:color="auto"/>
        <w:right w:val="none" w:sz="0" w:space="0" w:color="auto"/>
      </w:divBdr>
    </w:div>
    <w:div w:id="721976453">
      <w:bodyDiv w:val="1"/>
      <w:marLeft w:val="0"/>
      <w:marRight w:val="0"/>
      <w:marTop w:val="0"/>
      <w:marBottom w:val="0"/>
      <w:divBdr>
        <w:top w:val="none" w:sz="0" w:space="0" w:color="auto"/>
        <w:left w:val="none" w:sz="0" w:space="0" w:color="auto"/>
        <w:bottom w:val="none" w:sz="0" w:space="0" w:color="auto"/>
        <w:right w:val="none" w:sz="0" w:space="0" w:color="auto"/>
      </w:divBdr>
    </w:div>
    <w:div w:id="194433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515DC-828B-4287-B06D-38079825A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7663</Words>
  <Characters>4368</Characters>
  <Application>Microsoft Office Word</Application>
  <DocSecurity>0</DocSecurity>
  <Lines>36</Lines>
  <Paragraphs>24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Світлана М. Решетник</cp:lastModifiedBy>
  <cp:revision>2</cp:revision>
  <dcterms:created xsi:type="dcterms:W3CDTF">2026-08-17T09:56:00Z</dcterms:created>
  <dcterms:modified xsi:type="dcterms:W3CDTF">2026-08-17T09:56:00Z</dcterms:modified>
</cp:coreProperties>
</file>