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D45" w:rsidRPr="00E6494D" w:rsidRDefault="000A22AC" w:rsidP="00873E31">
      <w:pPr>
        <w:ind w:right="50"/>
        <w:jc w:val="both"/>
        <w:rPr>
          <w:sz w:val="28"/>
          <w:szCs w:val="28"/>
          <w:lang w:val="en-GB"/>
        </w:rPr>
      </w:pPr>
      <w:bookmarkStart w:id="0" w:name="_GoBack"/>
      <w:bookmarkEnd w:id="0"/>
      <w:r w:rsidRPr="00E6494D">
        <w:rPr>
          <w:b/>
          <w:bCs/>
          <w:sz w:val="28"/>
          <w:szCs w:val="28"/>
          <w:lang w:val="en-GB"/>
        </w:rPr>
        <w:t xml:space="preserve">Summary </w:t>
      </w:r>
      <w:r w:rsidR="00E026AC" w:rsidRPr="00E6494D">
        <w:rPr>
          <w:b/>
          <w:bCs/>
          <w:sz w:val="28"/>
          <w:szCs w:val="28"/>
          <w:lang w:val="en-GB"/>
        </w:rPr>
        <w:t>to</w:t>
      </w:r>
      <w:r w:rsidRPr="00E6494D">
        <w:rPr>
          <w:b/>
          <w:bCs/>
          <w:sz w:val="28"/>
          <w:szCs w:val="28"/>
          <w:lang w:val="en-GB"/>
        </w:rPr>
        <w:t xml:space="preserve"> Decision of the Second Senate of the Constitutional Court of Ukraine No. 6-r(II)/2026 dated 15 July 2026 in the case upon the constitutional complaint of Tetiana Samborska regarding the constitutionality of Articles 309 and 428.2.2 of the Criminal Procedure Code of Ukraine (</w:t>
      </w:r>
      <w:r w:rsidR="001F707C" w:rsidRPr="00E6494D">
        <w:rPr>
          <w:b/>
          <w:bCs/>
          <w:sz w:val="28"/>
          <w:szCs w:val="28"/>
          <w:lang w:val="en-GB"/>
        </w:rPr>
        <w:t xml:space="preserve">on </w:t>
      </w:r>
      <w:r w:rsidRPr="00E6494D">
        <w:rPr>
          <w:b/>
          <w:bCs/>
          <w:sz w:val="28"/>
          <w:szCs w:val="28"/>
          <w:lang w:val="en-GB"/>
        </w:rPr>
        <w:t>ensuring the right of access to the materials of criminal proceedings)</w:t>
      </w:r>
    </w:p>
    <w:p w:rsidR="000A22AC" w:rsidRPr="00E6494D" w:rsidRDefault="000A22AC" w:rsidP="00873E31">
      <w:pPr>
        <w:pStyle w:val="tit"/>
        <w:spacing w:before="0" w:after="0"/>
        <w:ind w:firstLine="851"/>
        <w:jc w:val="both"/>
        <w:rPr>
          <w:b/>
          <w:bCs/>
          <w:sz w:val="28"/>
          <w:szCs w:val="28"/>
          <w:u w:val="single"/>
          <w:lang w:val="en-GB"/>
        </w:rPr>
      </w:pPr>
    </w:p>
    <w:p w:rsidR="001C3F73" w:rsidRPr="00E6494D" w:rsidRDefault="001C3F73" w:rsidP="00D5531B">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Tetiana Samborska lodged a constitutional complaint requesting the Constitutional Court of Ukraine to declare Articles 309, 392.3, 428.2.2 of the Criminal Procedure Code of Ukraine (</w:t>
      </w:r>
      <w:r w:rsidR="00FD3F10" w:rsidRPr="00E6494D">
        <w:rPr>
          <w:rFonts w:ascii="Times New Roman" w:hAnsi="Times New Roman" w:cs="Times New Roman"/>
          <w:sz w:val="28"/>
          <w:szCs w:val="28"/>
          <w:lang w:val="en-GB"/>
        </w:rPr>
        <w:t xml:space="preserve">hereinafter, </w:t>
      </w:r>
      <w:r w:rsidRPr="00E6494D">
        <w:rPr>
          <w:rFonts w:ascii="Times New Roman" w:hAnsi="Times New Roman" w:cs="Times New Roman"/>
          <w:sz w:val="28"/>
          <w:szCs w:val="28"/>
          <w:lang w:val="en-GB"/>
        </w:rPr>
        <w:t xml:space="preserve">the </w:t>
      </w:r>
      <w:r w:rsidR="0077109F" w:rsidRPr="00E6494D">
        <w:rPr>
          <w:rFonts w:ascii="Times New Roman" w:hAnsi="Times New Roman" w:cs="Times New Roman"/>
          <w:sz w:val="28"/>
          <w:szCs w:val="28"/>
          <w:lang w:val="en-GB"/>
        </w:rPr>
        <w:t>“</w:t>
      </w:r>
      <w:r w:rsidRPr="00E6494D">
        <w:rPr>
          <w:rFonts w:ascii="Times New Roman" w:hAnsi="Times New Roman" w:cs="Times New Roman"/>
          <w:sz w:val="28"/>
          <w:szCs w:val="28"/>
          <w:lang w:val="en-GB"/>
        </w:rPr>
        <w:t>Code”), paragraph 19</w:t>
      </w:r>
      <w:r w:rsidR="00FD3F10" w:rsidRPr="00E6494D">
        <w:rPr>
          <w:rFonts w:ascii="Times New Roman" w:hAnsi="Times New Roman" w:cs="Times New Roman"/>
          <w:sz w:val="28"/>
          <w:szCs w:val="28"/>
          <w:lang w:val="en-GB"/>
        </w:rPr>
        <w:t>.3</w:t>
      </w:r>
      <w:r w:rsidRPr="00E6494D">
        <w:rPr>
          <w:rFonts w:ascii="Times New Roman" w:hAnsi="Times New Roman" w:cs="Times New Roman"/>
          <w:sz w:val="28"/>
          <w:szCs w:val="28"/>
          <w:lang w:val="en-GB"/>
        </w:rPr>
        <w:t xml:space="preserve"> of Section I of the </w:t>
      </w:r>
      <w:r w:rsidR="00DF667F" w:rsidRPr="00E6494D">
        <w:rPr>
          <w:rFonts w:ascii="Times New Roman" w:hAnsi="Times New Roman" w:cs="Times New Roman"/>
          <w:sz w:val="28"/>
          <w:szCs w:val="28"/>
          <w:lang w:val="en-GB"/>
        </w:rPr>
        <w:t>Law of Ukraine “On Amendments to the Criminal Procedure Code of Ukraine and the Law of Ukraine ‘On Electronic Communications’ Concerning Enhancing the Effectiveness of Pre-Trial Investigations ‘in Hot Pursuit’ and Countering Cyberattacks”</w:t>
      </w:r>
      <w:r w:rsidRPr="00E6494D">
        <w:rPr>
          <w:rFonts w:ascii="Times New Roman" w:hAnsi="Times New Roman" w:cs="Times New Roman"/>
          <w:sz w:val="28"/>
          <w:szCs w:val="28"/>
          <w:lang w:val="en-GB"/>
        </w:rPr>
        <w:t xml:space="preserve"> No.</w:t>
      </w:r>
      <w:r w:rsidR="00D5531B" w:rsidRPr="00E6494D">
        <w:rPr>
          <w:rFonts w:ascii="Times New Roman" w:hAnsi="Times New Roman" w:cs="Times New Roman"/>
          <w:sz w:val="28"/>
          <w:szCs w:val="28"/>
          <w:lang w:val="en-GB"/>
        </w:rPr>
        <w:t> </w:t>
      </w:r>
      <w:r w:rsidRPr="00E6494D">
        <w:rPr>
          <w:rFonts w:ascii="Times New Roman" w:hAnsi="Times New Roman" w:cs="Times New Roman"/>
          <w:sz w:val="28"/>
          <w:szCs w:val="28"/>
          <w:lang w:val="en-GB"/>
        </w:rPr>
        <w:t xml:space="preserve">2137-IX </w:t>
      </w:r>
      <w:r w:rsidR="00D5531B" w:rsidRPr="00E6494D">
        <w:rPr>
          <w:rFonts w:ascii="Times New Roman" w:hAnsi="Times New Roman" w:cs="Times New Roman"/>
          <w:sz w:val="28"/>
          <w:szCs w:val="28"/>
          <w:lang w:val="en-GB"/>
        </w:rPr>
        <w:t>dated</w:t>
      </w:r>
      <w:r w:rsidRPr="00E6494D">
        <w:rPr>
          <w:rFonts w:ascii="Times New Roman" w:hAnsi="Times New Roman" w:cs="Times New Roman"/>
          <w:sz w:val="28"/>
          <w:szCs w:val="28"/>
          <w:lang w:val="en-GB"/>
        </w:rPr>
        <w:t xml:space="preserve"> 15 March 2022, paragraph</w:t>
      </w:r>
      <w:r w:rsidR="00D5531B" w:rsidRPr="00E6494D">
        <w:rPr>
          <w:rFonts w:ascii="Times New Roman" w:hAnsi="Times New Roman" w:cs="Times New Roman"/>
          <w:sz w:val="28"/>
          <w:szCs w:val="28"/>
          <w:lang w:val="en-GB"/>
        </w:rPr>
        <w:t>s</w:t>
      </w:r>
      <w:r w:rsidRPr="00E6494D">
        <w:rPr>
          <w:rFonts w:ascii="Times New Roman" w:hAnsi="Times New Roman" w:cs="Times New Roman"/>
          <w:sz w:val="28"/>
          <w:szCs w:val="28"/>
          <w:lang w:val="en-GB"/>
        </w:rPr>
        <w:t xml:space="preserve"> 4</w:t>
      </w:r>
      <w:r w:rsidR="00D5531B" w:rsidRPr="00E6494D">
        <w:rPr>
          <w:rFonts w:ascii="Times New Roman" w:hAnsi="Times New Roman" w:cs="Times New Roman"/>
          <w:sz w:val="28"/>
          <w:szCs w:val="28"/>
          <w:lang w:val="en-GB"/>
        </w:rPr>
        <w:t>.2</w:t>
      </w:r>
      <w:r w:rsidRPr="00E6494D">
        <w:rPr>
          <w:rFonts w:ascii="Times New Roman" w:hAnsi="Times New Roman" w:cs="Times New Roman"/>
          <w:sz w:val="28"/>
          <w:szCs w:val="28"/>
          <w:lang w:val="en-GB"/>
        </w:rPr>
        <w:t>,</w:t>
      </w:r>
      <w:r w:rsidR="00D5531B" w:rsidRPr="00E6494D">
        <w:rPr>
          <w:rFonts w:ascii="Times New Roman" w:hAnsi="Times New Roman" w:cs="Times New Roman"/>
          <w:sz w:val="28"/>
          <w:szCs w:val="28"/>
          <w:lang w:val="en-GB"/>
        </w:rPr>
        <w:t xml:space="preserve"> 4.3, 4.4, 5.2</w:t>
      </w:r>
      <w:r w:rsidRPr="00E6494D">
        <w:rPr>
          <w:rFonts w:ascii="Times New Roman" w:hAnsi="Times New Roman" w:cs="Times New Roman"/>
          <w:sz w:val="28"/>
          <w:szCs w:val="28"/>
          <w:lang w:val="en-GB"/>
        </w:rPr>
        <w:t xml:space="preserve">, </w:t>
      </w:r>
      <w:r w:rsidR="00D5531B" w:rsidRPr="00E6494D">
        <w:rPr>
          <w:rFonts w:ascii="Times New Roman" w:hAnsi="Times New Roman" w:cs="Times New Roman"/>
          <w:sz w:val="28"/>
          <w:szCs w:val="28"/>
          <w:lang w:val="en-GB"/>
        </w:rPr>
        <w:t>6, 7 of</w:t>
      </w:r>
      <w:r w:rsidRPr="00E6494D">
        <w:rPr>
          <w:rFonts w:ascii="Times New Roman" w:hAnsi="Times New Roman" w:cs="Times New Roman"/>
          <w:sz w:val="28"/>
          <w:szCs w:val="28"/>
          <w:lang w:val="en-GB"/>
        </w:rPr>
        <w:t xml:space="preserve"> Section I of the </w:t>
      </w:r>
      <w:r w:rsidR="00DF667F" w:rsidRPr="00E6494D">
        <w:rPr>
          <w:rFonts w:ascii="Times New Roman" w:hAnsi="Times New Roman" w:cs="Times New Roman"/>
          <w:sz w:val="28"/>
          <w:szCs w:val="28"/>
          <w:lang w:val="en-GB"/>
        </w:rPr>
        <w:t xml:space="preserve">Law of Ukraine “On Amendments to the Criminal Procedure Code of Ukraine and Other Legislative Acts of Ukraine on Strengthening the Independence of the Specialised Anti-Corruption Prosecutor’s Office” </w:t>
      </w:r>
      <w:r w:rsidRPr="00E6494D">
        <w:rPr>
          <w:rFonts w:ascii="Times New Roman" w:hAnsi="Times New Roman" w:cs="Times New Roman"/>
          <w:sz w:val="28"/>
          <w:szCs w:val="28"/>
          <w:lang w:val="en-GB"/>
        </w:rPr>
        <w:t xml:space="preserve">No. 3509-IX </w:t>
      </w:r>
      <w:r w:rsidR="00D5531B" w:rsidRPr="00E6494D">
        <w:rPr>
          <w:rFonts w:ascii="Times New Roman" w:hAnsi="Times New Roman" w:cs="Times New Roman"/>
          <w:sz w:val="28"/>
          <w:szCs w:val="28"/>
          <w:lang w:val="en-GB"/>
        </w:rPr>
        <w:t>dated</w:t>
      </w:r>
      <w:r w:rsidRPr="00E6494D">
        <w:rPr>
          <w:rFonts w:ascii="Times New Roman" w:hAnsi="Times New Roman" w:cs="Times New Roman"/>
          <w:sz w:val="28"/>
          <w:szCs w:val="28"/>
          <w:lang w:val="en-GB"/>
        </w:rPr>
        <w:t xml:space="preserve"> 8 December 2023 inconsistent with the Constitution of Ukraine (unconstitutional).</w:t>
      </w:r>
    </w:p>
    <w:p w:rsidR="001C3F73" w:rsidRPr="00E6494D" w:rsidRDefault="001C3F73" w:rsidP="001C3F73">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Article 129</w:t>
      </w:r>
      <w:r w:rsidR="00490805" w:rsidRPr="00E6494D">
        <w:rPr>
          <w:rFonts w:ascii="Times New Roman" w:hAnsi="Times New Roman" w:cs="Times New Roman"/>
          <w:sz w:val="28"/>
          <w:szCs w:val="28"/>
          <w:lang w:val="en-GB"/>
        </w:rPr>
        <w:t>.2.</w:t>
      </w:r>
      <w:r w:rsidRPr="00E6494D">
        <w:rPr>
          <w:rFonts w:ascii="Times New Roman" w:hAnsi="Times New Roman" w:cs="Times New Roman"/>
          <w:sz w:val="28"/>
          <w:szCs w:val="28"/>
          <w:lang w:val="en-GB"/>
        </w:rPr>
        <w:t>8 of the Constitution guarantees an unconditional right to appellate review of a case on its merits, but does not establish guarantees of the same scope in respect of appeals against procedural judicial decisions determining individual issues arising in criminal proceedings. This, however, does not mean that such procedural decisions fall outside the protection afforded by the Constitution.</w:t>
      </w:r>
    </w:p>
    <w:p w:rsidR="00FC78C6" w:rsidRPr="00E6494D" w:rsidRDefault="00FC78C6" w:rsidP="001C3F73">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w:t>
      </w:r>
      <w:r w:rsidR="001C3F73" w:rsidRPr="00E6494D">
        <w:rPr>
          <w:rFonts w:ascii="Times New Roman" w:hAnsi="Times New Roman" w:cs="Times New Roman"/>
          <w:sz w:val="28"/>
          <w:szCs w:val="28"/>
          <w:lang w:val="en-GB"/>
        </w:rPr>
        <w:t>he right to appeal against rulings of an investigating judge must be exercised in accordance with a law adopted on the basis of, and within the constitutional limits established by, the Constitution.</w:t>
      </w:r>
    </w:p>
    <w:p w:rsidR="001C3F73" w:rsidRPr="00E6494D" w:rsidRDefault="00FC78C6" w:rsidP="001C3F73">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w:t>
      </w:r>
      <w:r w:rsidR="001C3F73" w:rsidRPr="00E6494D">
        <w:rPr>
          <w:rFonts w:ascii="Times New Roman" w:hAnsi="Times New Roman" w:cs="Times New Roman"/>
          <w:sz w:val="28"/>
          <w:szCs w:val="28"/>
          <w:lang w:val="en-GB"/>
        </w:rPr>
        <w:t>he Verkhovna Rada of Ukraine may not arbitrarily determine which rulings of an investigating judge are subject to appeal and which are not.</w:t>
      </w:r>
      <w:r w:rsidRPr="00E6494D">
        <w:rPr>
          <w:rFonts w:ascii="Times New Roman" w:hAnsi="Times New Roman" w:cs="Times New Roman"/>
          <w:sz w:val="28"/>
          <w:szCs w:val="28"/>
          <w:lang w:val="en-GB"/>
        </w:rPr>
        <w:t xml:space="preserve"> T</w:t>
      </w:r>
      <w:r w:rsidR="001C3F73" w:rsidRPr="00E6494D">
        <w:rPr>
          <w:rFonts w:ascii="Times New Roman" w:hAnsi="Times New Roman" w:cs="Times New Roman"/>
          <w:sz w:val="28"/>
          <w:szCs w:val="28"/>
          <w:lang w:val="en-GB"/>
        </w:rPr>
        <w:t>he legislature must strike a fair balance between ensuring the proper administration of justice, including the prevention of unjustified delays in criminal proceedings, and safeguarding the individual's constitutional right to judicial protection and other fundamental rights.</w:t>
      </w:r>
    </w:p>
    <w:p w:rsidR="006C2548" w:rsidRPr="00E6494D" w:rsidRDefault="006C2548" w:rsidP="001C3F73">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Constitutional Court, in the context of the issues raised in the constitutional complaint, concludes that a legislative prohibition on the right to appeal against rulings of an investigating judge is constitutionally permissible where it: is established for a legitimate aim, related, in particular, to ensuring the proper conduct of criminal proceedings, compliance with reasonable time limits for judicial proceedings, preventing excessive fragmentation of judicial proceedings, and preventing the abuse of procedural rights; and is proportionate, that is, does not result in an arbitrary restriction of a person’s constitutional right to judicial protection and does not violate the essence of that right.</w:t>
      </w:r>
    </w:p>
    <w:p w:rsidR="006C2548" w:rsidRPr="00E6494D" w:rsidRDefault="006C2548" w:rsidP="001C3F73">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 xml:space="preserve">Accordingly, the absence of the right to appeal against rulings of an investigating judge is permissible: in respect of those rulings whose legal consequences do not result in irreversible or such significant interference with the constitutional rights </w:t>
      </w:r>
      <w:r w:rsidRPr="00E6494D">
        <w:rPr>
          <w:rFonts w:ascii="Times New Roman" w:hAnsi="Times New Roman" w:cs="Times New Roman"/>
          <w:sz w:val="28"/>
          <w:szCs w:val="28"/>
          <w:lang w:val="en-GB"/>
        </w:rPr>
        <w:lastRenderedPageBreak/>
        <w:t>and freedoms of a person as would be impossible to remedy in a timely and effective manner without recourse to a court of appeal; where other (alternative) legal remedies provided for by criminal procedure legislation are capable of ensuring the elimination of the consequences of a possible violation of a person’s rights caused by the ruling of an investigating judge, thereby ensuring their effective restoration.</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 xml:space="preserve">Taking into account the principle that </w:t>
      </w:r>
      <w:r w:rsidRPr="00E6494D">
        <w:rPr>
          <w:rFonts w:ascii="Times New Roman" w:hAnsi="Times New Roman" w:cs="Times New Roman"/>
          <w:i/>
          <w:sz w:val="28"/>
          <w:szCs w:val="28"/>
          <w:lang w:val="en-GB"/>
        </w:rPr>
        <w:t>substantia potior est forma</w:t>
      </w:r>
      <w:r w:rsidRPr="00E6494D">
        <w:rPr>
          <w:rFonts w:ascii="Times New Roman" w:hAnsi="Times New Roman" w:cs="Times New Roman"/>
          <w:sz w:val="28"/>
          <w:szCs w:val="28"/>
          <w:lang w:val="en-GB"/>
        </w:rPr>
        <w:t>, the Constitutional Court emphasises that, when resolving the issue of the constitutionality of the legislative prohibition on appealing against a ruling of an investigating judge establishing a time limit for familiarisation with the materials of the pre-trial investigation, it is not the formal characteristics of the respective ruling that are decisive, but its subject matter and purpose in criminal proceedings, its legal consequences, and the nature and degree of its impact on the constitutional rights of a person.</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Familiarisation with the materials of the pre-trial investigation is not a formal procedural act, but one of the main guarantees for the exercise of the right to judicial protection. The right to familiarisation with the materials of criminal proceedings is an inseparable component of the constitutional right to defence of a suspect (accused person).</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establishment by an investigating judge of a time limit for familiarisation with the materials of the pre-trial investigation is a procedural means aimed at ensuring the proper conduct of criminal proceedings and preventing their unjustified prolongation. At the same time, the application of this means is permissible only provided that the time limit established is objectively sufficient having regard to the volume and complexity of the materials, the conditions of access to them, and other circumstances relevant to the proper preparation of the defence of the suspect (accused person).</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absence of a statutory provision establishing the right to appeal against a ruling of an investigating judge establishing a time limit for familiarisation with the materials of the pre-trial investigation does not deprive participants in criminal proceedings of procedural means of seeking a review of its lawfulness in another manner.</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Constitutional Court draws attention to the fact that Article 309.3 of the Code does not clearly detail the procedural consequences of submitting objections to rulings of an investigating judge and does not expressly determine a separate procedure for their consideration, thereby allowing for different approaches both to its theoretical interpretation and to its practical understanding. This results in the absence in national law-enforcement practice of an established approach that would guarantee proper consideration by courts of the objections submitted and a mandatory reasoned response by courts to the arguments set out therein.</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 xml:space="preserve">Taking into account the text and content of Article 309.3 of the Code, having carried out its systematic, value-based and purposive interpretation consistent with the Constitution, the Constitutional Court concludes that objections to a ruling of an </w:t>
      </w:r>
      <w:r w:rsidRPr="00E6494D">
        <w:rPr>
          <w:rFonts w:ascii="Times New Roman" w:hAnsi="Times New Roman" w:cs="Times New Roman"/>
          <w:sz w:val="28"/>
          <w:szCs w:val="28"/>
          <w:lang w:val="en-GB"/>
        </w:rPr>
        <w:lastRenderedPageBreak/>
        <w:t>investigating judge that is not subject to appeal are subject to mandatory consideration and must be taken into account by the court. The right of a person to submit objections to a ruling of an investigating judge corresponds to the duty of the court to duly consider such objections, examine the arguments set out therein, provide them with a proper legal assessment and, where necessary, take the measures necessary to restore the violated right.</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Constitutional Court emphasises that the fact that, at the stage of the preparatory court hearing, all the materials of the pre-trial investigation are not in the immediate possession of the court does not deprive the court of the possibility to order the prosecution to provide the person, for a period determined by the court, with access to those materials for familiarisation without their mandatory inclusion in the materials of the criminal case that are in the possession of the court. At the same time, the choice of specific procedural means of ensuring and practical implementation of a person’s right to familiarisation with the materials of the pre-trial investigation following the submission of objections is to be determined by the courts of the judicial system of Ukraine in the course of administering justice.</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provisions of Article 309 of the Code, which do not provide for the right to appeal against a ruling of an investigating judge establishing a time limit for familiarisation with the materials of the pre-trial investigation, are aimed at achieving a legitimate aim, are proportionate and justified, do not encroach upon the constitutional principles of judicial proceedings, and do not violate the essence of the right of a suspect or accused person to defence.</w:t>
      </w:r>
    </w:p>
    <w:p w:rsidR="00B95208" w:rsidRPr="00E6494D" w:rsidRDefault="00B95208" w:rsidP="00B95208">
      <w:pPr>
        <w:pStyle w:val="HTML"/>
        <w:ind w:firstLine="851"/>
        <w:jc w:val="both"/>
        <w:rPr>
          <w:rFonts w:ascii="Times New Roman" w:hAnsi="Times New Roman" w:cs="Times New Roman"/>
          <w:sz w:val="28"/>
          <w:szCs w:val="28"/>
          <w:lang w:val="en-GB"/>
        </w:rPr>
      </w:pP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The Constitutional Court emphasises that, until the possible opening of appellate proceedings in the cases in question, judicial control by the appellate court is limited exclusively to the issue of whether or not a person has the right to appeal against the ruling of an investigating judge, and not to resolving on the merits the issues that were the subject matter of consideration at the stage of the pre-trial investigation. Thus, this constitutes a procedural form of judicial control related to verifying compliance with a person’s right of access to an appellate court, which has an independent subject matter and scope of judicial review.</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In such circumstances, the court of cassation applies Article 428.2</w:t>
      </w:r>
      <w:r w:rsidR="00F676AB" w:rsidRPr="00E6494D">
        <w:rPr>
          <w:rFonts w:ascii="Times New Roman" w:hAnsi="Times New Roman" w:cs="Times New Roman"/>
          <w:sz w:val="28"/>
          <w:szCs w:val="28"/>
          <w:lang w:val="en-GB"/>
        </w:rPr>
        <w:t xml:space="preserve">.2 </w:t>
      </w:r>
      <w:r w:rsidRPr="00E6494D">
        <w:rPr>
          <w:rFonts w:ascii="Times New Roman" w:hAnsi="Times New Roman" w:cs="Times New Roman"/>
          <w:sz w:val="28"/>
          <w:szCs w:val="28"/>
          <w:lang w:val="en-GB"/>
        </w:rPr>
        <w:t>of the Code not in the context of reviewing the lawfulness and validity of the ruling of an investigating judge on the merits, but exclusively for the purpose of verifying the correctness of the conclusion of the appellate court as to whether or not a person has the right to appeal against the respective judicial decision.</w:t>
      </w:r>
    </w:p>
    <w:p w:rsidR="00B95208" w:rsidRPr="00E6494D" w:rsidRDefault="00B95208" w:rsidP="00B95208">
      <w:pPr>
        <w:pStyle w:val="HTML"/>
        <w:ind w:firstLine="851"/>
        <w:jc w:val="both"/>
        <w:rPr>
          <w:rFonts w:ascii="Times New Roman" w:hAnsi="Times New Roman" w:cs="Times New Roman"/>
          <w:sz w:val="28"/>
          <w:szCs w:val="28"/>
          <w:lang w:val="en-GB"/>
        </w:rPr>
      </w:pPr>
      <w:r w:rsidRPr="00E6494D">
        <w:rPr>
          <w:rFonts w:ascii="Times New Roman" w:hAnsi="Times New Roman" w:cs="Times New Roman"/>
          <w:sz w:val="28"/>
          <w:szCs w:val="28"/>
          <w:lang w:val="en-GB"/>
        </w:rPr>
        <w:t>Taking into account the limited level of guarantee of the right to appeal in cassation against judicial decisions, particularly those by which a case is not decided on the merits, the absence in Article 428.2</w:t>
      </w:r>
      <w:r w:rsidR="00737175" w:rsidRPr="00E6494D">
        <w:rPr>
          <w:rFonts w:ascii="Times New Roman" w:hAnsi="Times New Roman" w:cs="Times New Roman"/>
          <w:sz w:val="28"/>
          <w:szCs w:val="28"/>
          <w:lang w:val="en-GB"/>
        </w:rPr>
        <w:t>.2</w:t>
      </w:r>
      <w:r w:rsidRPr="00E6494D">
        <w:rPr>
          <w:rFonts w:ascii="Times New Roman" w:hAnsi="Times New Roman" w:cs="Times New Roman"/>
          <w:sz w:val="28"/>
          <w:szCs w:val="28"/>
          <w:lang w:val="en-GB"/>
        </w:rPr>
        <w:t xml:space="preserve"> of the Code of detailed criteria for taking a decision to refuse to open the respective cassation proceedings does not prevent the court of cassation from being capable of duly reviewing the correctness of the refusal to grant a person access to appellate review of the ruling of an investigating judge.</w:t>
      </w:r>
    </w:p>
    <w:p w:rsidR="001C3F73" w:rsidRPr="00E6494D" w:rsidRDefault="00B95208" w:rsidP="00B95208">
      <w:pPr>
        <w:pStyle w:val="HTML"/>
        <w:ind w:firstLine="851"/>
        <w:jc w:val="both"/>
        <w:rPr>
          <w:rFonts w:ascii="Times New Roman" w:hAnsi="Times New Roman" w:cs="Times New Roman"/>
          <w:b/>
          <w:bCs/>
          <w:sz w:val="28"/>
          <w:szCs w:val="28"/>
          <w:u w:val="single"/>
          <w:lang w:val="en-GB"/>
        </w:rPr>
      </w:pPr>
      <w:r w:rsidRPr="00E6494D">
        <w:rPr>
          <w:rFonts w:ascii="Times New Roman" w:hAnsi="Times New Roman" w:cs="Times New Roman"/>
          <w:sz w:val="28"/>
          <w:szCs w:val="28"/>
          <w:lang w:val="en-GB"/>
        </w:rPr>
        <w:lastRenderedPageBreak/>
        <w:t>The court of cassation is obliged to ensure that the appellate court has carried out a proper legal assessment of the issue of the admissibility of an appeal against the respective ruling of an investigating judge, and also to ascertain whether, as a result of an erroneous application of procedural law, the person’s right of access to appellate review has been unjustifiably restricted.</w:t>
      </w:r>
    </w:p>
    <w:p w:rsidR="001632E8" w:rsidRPr="00E6494D" w:rsidRDefault="001632E8" w:rsidP="001632E8">
      <w:pPr>
        <w:ind w:firstLine="851"/>
        <w:jc w:val="both"/>
        <w:rPr>
          <w:sz w:val="28"/>
          <w:szCs w:val="28"/>
          <w:lang w:val="en-GB"/>
        </w:rPr>
      </w:pPr>
      <w:r w:rsidRPr="00E6494D">
        <w:rPr>
          <w:sz w:val="28"/>
          <w:szCs w:val="28"/>
          <w:lang w:val="en-GB"/>
        </w:rPr>
        <w:t>Thus, Article 309 of the Criminal Procedure Code of Ukraine was declared consistent with the Constitution (i.e. constitutional), insofar as it does not provide for an appeal against a ruling of an investigating judge setting a time limit for familiarisation with the materials of the pre-trial investigation.</w:t>
      </w:r>
    </w:p>
    <w:p w:rsidR="001632E8" w:rsidRPr="00E6494D" w:rsidRDefault="001632E8" w:rsidP="001632E8">
      <w:pPr>
        <w:ind w:firstLine="851"/>
        <w:jc w:val="both"/>
        <w:rPr>
          <w:sz w:val="28"/>
          <w:szCs w:val="28"/>
          <w:lang w:val="en-GB"/>
        </w:rPr>
      </w:pPr>
      <w:r w:rsidRPr="00E6494D">
        <w:rPr>
          <w:sz w:val="28"/>
          <w:szCs w:val="28"/>
          <w:lang w:val="en-GB"/>
        </w:rPr>
        <w:t>Article 428.2.2 of the Criminal Procedure Code of Ukraine was declared consistent with the Constitution (i.e. constitutional) insofar as it serves as a ground for refusing to initiate cassation proceedings in response to a cassation appeal against a ruling of the appellate court refusing to initiate appeal proceedings.</w:t>
      </w:r>
    </w:p>
    <w:p w:rsidR="001632E8" w:rsidRPr="00E6494D" w:rsidRDefault="001632E8" w:rsidP="001632E8">
      <w:pPr>
        <w:ind w:firstLine="851"/>
        <w:jc w:val="both"/>
        <w:rPr>
          <w:sz w:val="28"/>
          <w:szCs w:val="28"/>
          <w:lang w:val="en-GB"/>
        </w:rPr>
      </w:pPr>
    </w:p>
    <w:p w:rsidR="00EF3169" w:rsidRPr="00E6494D" w:rsidRDefault="00EF3169" w:rsidP="00EF3169">
      <w:pPr>
        <w:autoSpaceDE/>
        <w:autoSpaceDN/>
        <w:adjustRightInd/>
        <w:spacing w:before="100" w:beforeAutospacing="1" w:after="100" w:afterAutospacing="1"/>
        <w:rPr>
          <w:sz w:val="28"/>
          <w:szCs w:val="28"/>
          <w:u w:val="single"/>
          <w:lang w:val="en-GB"/>
        </w:rPr>
      </w:pPr>
      <w:r w:rsidRPr="00E6494D">
        <w:rPr>
          <w:b/>
          <w:bCs/>
          <w:sz w:val="28"/>
          <w:szCs w:val="28"/>
          <w:u w:val="single"/>
          <w:lang w:val="en-GB"/>
        </w:rPr>
        <w:t>Cross-References:</w:t>
      </w:r>
    </w:p>
    <w:p w:rsidR="00EF3169" w:rsidRPr="00E6494D" w:rsidRDefault="00EF3169" w:rsidP="00EF3169">
      <w:pPr>
        <w:autoSpaceDE/>
        <w:autoSpaceDN/>
        <w:adjustRightInd/>
        <w:spacing w:before="100" w:beforeAutospacing="1" w:after="100" w:afterAutospacing="1"/>
        <w:rPr>
          <w:sz w:val="28"/>
          <w:szCs w:val="28"/>
          <w:lang w:val="en-GB"/>
        </w:rPr>
      </w:pPr>
      <w:r w:rsidRPr="00E6494D">
        <w:rPr>
          <w:b/>
          <w:bCs/>
          <w:sz w:val="28"/>
          <w:szCs w:val="28"/>
          <w:lang w:val="en-GB"/>
        </w:rPr>
        <w:t>Constitutional Court of Ukraine:</w:t>
      </w:r>
    </w:p>
    <w:p w:rsidR="00EF3169" w:rsidRPr="00E6494D" w:rsidRDefault="00EF3169" w:rsidP="00EF3169">
      <w:pPr>
        <w:numPr>
          <w:ilvl w:val="0"/>
          <w:numId w:val="7"/>
        </w:numPr>
        <w:autoSpaceDE/>
        <w:autoSpaceDN/>
        <w:adjustRightInd/>
        <w:spacing w:before="100" w:beforeAutospacing="1" w:after="100" w:afterAutospacing="1"/>
        <w:rPr>
          <w:sz w:val="28"/>
          <w:szCs w:val="28"/>
          <w:lang w:val="en-GB"/>
        </w:rPr>
      </w:pPr>
      <w:r w:rsidRPr="00E6494D">
        <w:rPr>
          <w:sz w:val="28"/>
          <w:szCs w:val="28"/>
          <w:lang w:val="en-GB"/>
        </w:rPr>
        <w:t xml:space="preserve">no. 1-rp/2012, 18.01.2012; </w:t>
      </w:r>
    </w:p>
    <w:p w:rsidR="00EF3169" w:rsidRPr="00E6494D" w:rsidRDefault="00EF3169" w:rsidP="00EF3169">
      <w:pPr>
        <w:numPr>
          <w:ilvl w:val="0"/>
          <w:numId w:val="7"/>
        </w:numPr>
        <w:autoSpaceDE/>
        <w:autoSpaceDN/>
        <w:adjustRightInd/>
        <w:spacing w:before="100" w:beforeAutospacing="1" w:after="100" w:afterAutospacing="1"/>
        <w:rPr>
          <w:sz w:val="28"/>
          <w:szCs w:val="28"/>
          <w:lang w:val="en-GB"/>
        </w:rPr>
      </w:pPr>
      <w:r w:rsidRPr="00E6494D">
        <w:rPr>
          <w:sz w:val="28"/>
          <w:szCs w:val="28"/>
          <w:lang w:val="en-GB"/>
        </w:rPr>
        <w:t xml:space="preserve">no. 4-r/2019, 13.06.2019; </w:t>
      </w:r>
    </w:p>
    <w:p w:rsidR="00EF3169" w:rsidRPr="00E6494D" w:rsidRDefault="00EF3169" w:rsidP="00EF3169">
      <w:pPr>
        <w:numPr>
          <w:ilvl w:val="0"/>
          <w:numId w:val="7"/>
        </w:numPr>
        <w:autoSpaceDE/>
        <w:autoSpaceDN/>
        <w:adjustRightInd/>
        <w:spacing w:before="100" w:beforeAutospacing="1" w:after="100" w:afterAutospacing="1"/>
        <w:rPr>
          <w:sz w:val="28"/>
          <w:szCs w:val="28"/>
          <w:lang w:val="en-GB"/>
        </w:rPr>
      </w:pPr>
      <w:r w:rsidRPr="00E6494D">
        <w:rPr>
          <w:sz w:val="28"/>
          <w:szCs w:val="28"/>
          <w:lang w:val="en-GB"/>
        </w:rPr>
        <w:t xml:space="preserve">no. 5-r/2020, 17.03.2020; </w:t>
      </w:r>
    </w:p>
    <w:p w:rsidR="00EF3169" w:rsidRPr="00E6494D" w:rsidRDefault="00EF3169" w:rsidP="00EF3169">
      <w:pPr>
        <w:numPr>
          <w:ilvl w:val="0"/>
          <w:numId w:val="7"/>
        </w:numPr>
        <w:autoSpaceDE/>
        <w:autoSpaceDN/>
        <w:adjustRightInd/>
        <w:spacing w:before="100" w:beforeAutospacing="1" w:after="100" w:afterAutospacing="1"/>
        <w:rPr>
          <w:sz w:val="28"/>
          <w:szCs w:val="28"/>
          <w:lang w:val="en-GB"/>
        </w:rPr>
      </w:pPr>
      <w:r w:rsidRPr="00E6494D">
        <w:rPr>
          <w:sz w:val="28"/>
          <w:szCs w:val="28"/>
          <w:lang w:val="en-GB"/>
        </w:rPr>
        <w:t xml:space="preserve">no. 5-r(II)/2021, 21.07.2021; </w:t>
      </w:r>
    </w:p>
    <w:p w:rsidR="00EF3169" w:rsidRPr="00E6494D" w:rsidRDefault="00EF3169" w:rsidP="00EF3169">
      <w:pPr>
        <w:numPr>
          <w:ilvl w:val="0"/>
          <w:numId w:val="7"/>
        </w:numPr>
        <w:autoSpaceDE/>
        <w:autoSpaceDN/>
        <w:adjustRightInd/>
        <w:spacing w:before="100" w:beforeAutospacing="1" w:after="100" w:afterAutospacing="1"/>
        <w:rPr>
          <w:sz w:val="28"/>
          <w:szCs w:val="28"/>
          <w:lang w:val="en-GB"/>
        </w:rPr>
      </w:pPr>
      <w:r w:rsidRPr="00E6494D">
        <w:rPr>
          <w:sz w:val="28"/>
          <w:szCs w:val="28"/>
          <w:lang w:val="en-GB"/>
        </w:rPr>
        <w:t xml:space="preserve">no. 10-r(II)/2023, 22.11.2023; </w:t>
      </w:r>
    </w:p>
    <w:p w:rsidR="00EF3169" w:rsidRPr="00E6494D" w:rsidRDefault="00EF3169" w:rsidP="00EF3169">
      <w:pPr>
        <w:numPr>
          <w:ilvl w:val="0"/>
          <w:numId w:val="7"/>
        </w:numPr>
        <w:autoSpaceDE/>
        <w:autoSpaceDN/>
        <w:adjustRightInd/>
        <w:spacing w:before="100" w:beforeAutospacing="1" w:after="100" w:afterAutospacing="1"/>
        <w:rPr>
          <w:sz w:val="28"/>
          <w:szCs w:val="28"/>
          <w:lang w:val="en-GB"/>
        </w:rPr>
      </w:pPr>
      <w:r w:rsidRPr="00E6494D">
        <w:rPr>
          <w:sz w:val="28"/>
          <w:szCs w:val="28"/>
          <w:lang w:val="en-GB"/>
        </w:rPr>
        <w:t xml:space="preserve">no. 4-r(II)/2025, 10.09.2025. </w:t>
      </w:r>
    </w:p>
    <w:p w:rsidR="00EF3169" w:rsidRPr="00E6494D" w:rsidRDefault="00EF3169" w:rsidP="00EF3169">
      <w:pPr>
        <w:autoSpaceDE/>
        <w:autoSpaceDN/>
        <w:adjustRightInd/>
        <w:spacing w:before="100" w:beforeAutospacing="1" w:after="100" w:afterAutospacing="1"/>
        <w:rPr>
          <w:sz w:val="28"/>
          <w:szCs w:val="28"/>
          <w:lang w:val="en-GB"/>
        </w:rPr>
      </w:pPr>
      <w:r w:rsidRPr="00E6494D">
        <w:rPr>
          <w:b/>
          <w:bCs/>
          <w:sz w:val="28"/>
          <w:szCs w:val="28"/>
          <w:lang w:val="en-GB"/>
        </w:rPr>
        <w:t>European Court of Human Rights:</w:t>
      </w:r>
    </w:p>
    <w:p w:rsidR="00EF3169" w:rsidRPr="00E6494D" w:rsidRDefault="00EF3169" w:rsidP="00EF3169">
      <w:pPr>
        <w:numPr>
          <w:ilvl w:val="0"/>
          <w:numId w:val="8"/>
        </w:numPr>
        <w:autoSpaceDE/>
        <w:autoSpaceDN/>
        <w:adjustRightInd/>
        <w:spacing w:before="100" w:beforeAutospacing="1" w:after="100" w:afterAutospacing="1"/>
        <w:rPr>
          <w:sz w:val="28"/>
          <w:szCs w:val="28"/>
          <w:lang w:val="en-GB"/>
        </w:rPr>
      </w:pPr>
      <w:r w:rsidRPr="00E6494D">
        <w:rPr>
          <w:i/>
          <w:iCs/>
          <w:sz w:val="28"/>
          <w:szCs w:val="28"/>
          <w:lang w:val="en-GB"/>
        </w:rPr>
        <w:t>Foucher v. France</w:t>
      </w:r>
      <w:r w:rsidRPr="00E6494D">
        <w:rPr>
          <w:sz w:val="28"/>
          <w:szCs w:val="28"/>
          <w:lang w:val="en-GB"/>
        </w:rPr>
        <w:t xml:space="preserve">, no. 22209/93, 18.03.1997; </w:t>
      </w:r>
    </w:p>
    <w:p w:rsidR="00EF3169" w:rsidRPr="00E6494D" w:rsidRDefault="00EF3169" w:rsidP="00EF3169">
      <w:pPr>
        <w:numPr>
          <w:ilvl w:val="0"/>
          <w:numId w:val="8"/>
        </w:numPr>
        <w:autoSpaceDE/>
        <w:autoSpaceDN/>
        <w:adjustRightInd/>
        <w:spacing w:before="100" w:beforeAutospacing="1" w:after="100" w:afterAutospacing="1"/>
        <w:rPr>
          <w:sz w:val="28"/>
          <w:szCs w:val="28"/>
          <w:lang w:val="en-GB"/>
        </w:rPr>
      </w:pPr>
      <w:r w:rsidRPr="00E6494D">
        <w:rPr>
          <w:i/>
          <w:iCs/>
          <w:sz w:val="28"/>
          <w:szCs w:val="28"/>
          <w:lang w:val="en-GB"/>
        </w:rPr>
        <w:t>Iglin v. Ukraine</w:t>
      </w:r>
      <w:r w:rsidRPr="00E6494D">
        <w:rPr>
          <w:sz w:val="28"/>
          <w:szCs w:val="28"/>
          <w:lang w:val="en-GB"/>
        </w:rPr>
        <w:t xml:space="preserve">, no. 39908/05, 12.01.2012; </w:t>
      </w:r>
    </w:p>
    <w:p w:rsidR="00EF3169" w:rsidRPr="00E6494D" w:rsidRDefault="00EF3169" w:rsidP="00EF3169">
      <w:pPr>
        <w:numPr>
          <w:ilvl w:val="0"/>
          <w:numId w:val="8"/>
        </w:numPr>
        <w:autoSpaceDE/>
        <w:autoSpaceDN/>
        <w:adjustRightInd/>
        <w:spacing w:before="100" w:beforeAutospacing="1" w:after="100" w:afterAutospacing="1"/>
        <w:rPr>
          <w:sz w:val="28"/>
          <w:szCs w:val="28"/>
          <w:lang w:val="en-GB"/>
        </w:rPr>
      </w:pPr>
      <w:r w:rsidRPr="00E6494D">
        <w:rPr>
          <w:i/>
          <w:iCs/>
          <w:sz w:val="28"/>
          <w:szCs w:val="28"/>
          <w:lang w:val="en-GB"/>
        </w:rPr>
        <w:t>Gregacevic v. Croatia</w:t>
      </w:r>
      <w:r w:rsidRPr="00E6494D">
        <w:rPr>
          <w:sz w:val="28"/>
          <w:szCs w:val="28"/>
          <w:lang w:val="en-GB"/>
        </w:rPr>
        <w:t xml:space="preserve">, no. 58331/09, 10.07.2012; </w:t>
      </w:r>
    </w:p>
    <w:p w:rsidR="00EF3169" w:rsidRPr="00E6494D" w:rsidRDefault="00EF3169" w:rsidP="00EF3169">
      <w:pPr>
        <w:numPr>
          <w:ilvl w:val="0"/>
          <w:numId w:val="8"/>
        </w:numPr>
        <w:autoSpaceDE/>
        <w:autoSpaceDN/>
        <w:adjustRightInd/>
        <w:spacing w:before="100" w:beforeAutospacing="1" w:after="100" w:afterAutospacing="1"/>
        <w:rPr>
          <w:sz w:val="28"/>
          <w:szCs w:val="28"/>
          <w:lang w:val="en-GB"/>
        </w:rPr>
      </w:pPr>
      <w:r w:rsidRPr="00E6494D">
        <w:rPr>
          <w:i/>
          <w:iCs/>
          <w:sz w:val="28"/>
          <w:szCs w:val="28"/>
          <w:lang w:val="en-GB"/>
        </w:rPr>
        <w:t>Vyerentsov v. Ukraine</w:t>
      </w:r>
      <w:r w:rsidRPr="00E6494D">
        <w:rPr>
          <w:sz w:val="28"/>
          <w:szCs w:val="28"/>
          <w:lang w:val="en-GB"/>
        </w:rPr>
        <w:t xml:space="preserve">, no. 20372/11, 11.04.2013; </w:t>
      </w:r>
    </w:p>
    <w:p w:rsidR="00EF3169" w:rsidRPr="00E6494D" w:rsidRDefault="00EF3169" w:rsidP="00EF3169">
      <w:pPr>
        <w:numPr>
          <w:ilvl w:val="0"/>
          <w:numId w:val="8"/>
        </w:numPr>
        <w:autoSpaceDE/>
        <w:autoSpaceDN/>
        <w:adjustRightInd/>
        <w:spacing w:before="100" w:beforeAutospacing="1" w:after="100" w:afterAutospacing="1"/>
        <w:rPr>
          <w:sz w:val="28"/>
          <w:szCs w:val="28"/>
          <w:lang w:val="en-GB"/>
        </w:rPr>
      </w:pPr>
      <w:r w:rsidRPr="00E6494D">
        <w:rPr>
          <w:i/>
          <w:iCs/>
          <w:sz w:val="28"/>
          <w:szCs w:val="28"/>
          <w:lang w:val="en-GB"/>
        </w:rPr>
        <w:t>Beraru v. Romania</w:t>
      </w:r>
      <w:r w:rsidRPr="00E6494D">
        <w:rPr>
          <w:sz w:val="28"/>
          <w:szCs w:val="28"/>
          <w:lang w:val="en-GB"/>
        </w:rPr>
        <w:t xml:space="preserve">, no. 40107/04, 18.03.2014. </w:t>
      </w:r>
    </w:p>
    <w:p w:rsidR="00EF3169" w:rsidRPr="00E6494D" w:rsidRDefault="00EF3169" w:rsidP="00EF3169">
      <w:pPr>
        <w:autoSpaceDE/>
        <w:autoSpaceDN/>
        <w:adjustRightInd/>
        <w:spacing w:before="100" w:beforeAutospacing="1" w:after="100" w:afterAutospacing="1"/>
        <w:rPr>
          <w:sz w:val="28"/>
          <w:szCs w:val="28"/>
          <w:lang w:val="en-GB"/>
        </w:rPr>
      </w:pPr>
      <w:r w:rsidRPr="00E6494D">
        <w:rPr>
          <w:b/>
          <w:bCs/>
          <w:sz w:val="28"/>
          <w:szCs w:val="28"/>
          <w:lang w:val="en-GB"/>
        </w:rPr>
        <w:t>Other Courts:</w:t>
      </w:r>
    </w:p>
    <w:p w:rsidR="00EF3169" w:rsidRPr="00E6494D" w:rsidRDefault="00EF3169" w:rsidP="00EF3169">
      <w:pPr>
        <w:numPr>
          <w:ilvl w:val="0"/>
          <w:numId w:val="9"/>
        </w:numPr>
        <w:autoSpaceDE/>
        <w:autoSpaceDN/>
        <w:adjustRightInd/>
        <w:spacing w:before="100" w:beforeAutospacing="1" w:after="100" w:afterAutospacing="1"/>
        <w:rPr>
          <w:sz w:val="28"/>
          <w:szCs w:val="28"/>
          <w:lang w:val="en-GB"/>
        </w:rPr>
      </w:pPr>
      <w:r w:rsidRPr="00E6494D">
        <w:rPr>
          <w:sz w:val="28"/>
          <w:szCs w:val="28"/>
          <w:lang w:val="en-GB"/>
        </w:rPr>
        <w:t xml:space="preserve">Constitutional Court of the Czech Republic, no. III. ÚS 1956/13, 06.03.2014; </w:t>
      </w:r>
    </w:p>
    <w:p w:rsidR="00EF3169" w:rsidRPr="00E6494D" w:rsidRDefault="00EF3169" w:rsidP="00EF3169">
      <w:pPr>
        <w:numPr>
          <w:ilvl w:val="0"/>
          <w:numId w:val="9"/>
        </w:numPr>
        <w:autoSpaceDE/>
        <w:autoSpaceDN/>
        <w:adjustRightInd/>
        <w:spacing w:before="100" w:beforeAutospacing="1" w:after="100" w:afterAutospacing="1"/>
        <w:rPr>
          <w:sz w:val="28"/>
          <w:szCs w:val="28"/>
          <w:lang w:val="en-GB"/>
        </w:rPr>
      </w:pPr>
      <w:r w:rsidRPr="00E6494D">
        <w:rPr>
          <w:sz w:val="28"/>
          <w:szCs w:val="28"/>
          <w:lang w:val="en-GB"/>
        </w:rPr>
        <w:t xml:space="preserve">Constitutional Court of Romania, no. 31, 23.09.2021; </w:t>
      </w:r>
    </w:p>
    <w:p w:rsidR="00EF3169" w:rsidRPr="00E6494D" w:rsidRDefault="00EF3169" w:rsidP="00EF3169">
      <w:pPr>
        <w:numPr>
          <w:ilvl w:val="0"/>
          <w:numId w:val="9"/>
        </w:numPr>
        <w:autoSpaceDE/>
        <w:autoSpaceDN/>
        <w:adjustRightInd/>
        <w:spacing w:before="100" w:beforeAutospacing="1" w:after="100" w:afterAutospacing="1"/>
        <w:rPr>
          <w:sz w:val="28"/>
          <w:szCs w:val="28"/>
          <w:lang w:val="en-GB"/>
        </w:rPr>
      </w:pPr>
      <w:r w:rsidRPr="00E6494D">
        <w:rPr>
          <w:sz w:val="28"/>
          <w:szCs w:val="28"/>
          <w:lang w:val="en-GB"/>
        </w:rPr>
        <w:t xml:space="preserve">Constitutional Court of Latvia, no. 2016-13-01, 23.05.2017; </w:t>
      </w:r>
    </w:p>
    <w:p w:rsidR="00EF3169" w:rsidRPr="00E6494D" w:rsidRDefault="00EF3169" w:rsidP="00EF3169">
      <w:pPr>
        <w:numPr>
          <w:ilvl w:val="0"/>
          <w:numId w:val="9"/>
        </w:numPr>
        <w:autoSpaceDE/>
        <w:autoSpaceDN/>
        <w:adjustRightInd/>
        <w:spacing w:before="100" w:beforeAutospacing="1" w:after="100" w:afterAutospacing="1"/>
        <w:rPr>
          <w:sz w:val="28"/>
          <w:szCs w:val="28"/>
          <w:lang w:val="en-GB"/>
        </w:rPr>
      </w:pPr>
      <w:r w:rsidRPr="00E6494D">
        <w:rPr>
          <w:sz w:val="28"/>
          <w:szCs w:val="28"/>
          <w:lang w:val="en-GB"/>
        </w:rPr>
        <w:t>Constitutional Court of Spain, no. 180/2020, 14.12.2020.</w:t>
      </w:r>
    </w:p>
    <w:p w:rsidR="009A6732" w:rsidRPr="00E6494D" w:rsidRDefault="009A6732" w:rsidP="00EF3169">
      <w:pPr>
        <w:autoSpaceDE/>
        <w:autoSpaceDN/>
        <w:adjustRightInd/>
        <w:spacing w:before="100" w:beforeAutospacing="1" w:after="100" w:afterAutospacing="1"/>
        <w:outlineLvl w:val="2"/>
        <w:rPr>
          <w:sz w:val="28"/>
          <w:szCs w:val="28"/>
          <w:lang w:val="en-GB"/>
        </w:rPr>
      </w:pPr>
    </w:p>
    <w:sectPr w:rsidR="009A6732" w:rsidRPr="00E6494D">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C73" w:rsidRDefault="00162C73" w:rsidP="00786030">
      <w:r>
        <w:separator/>
      </w:r>
    </w:p>
  </w:endnote>
  <w:endnote w:type="continuationSeparator" w:id="0">
    <w:p w:rsidR="00162C73" w:rsidRDefault="00162C73" w:rsidP="0078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C73" w:rsidRDefault="00162C73" w:rsidP="00786030">
      <w:r>
        <w:separator/>
      </w:r>
    </w:p>
  </w:footnote>
  <w:footnote w:type="continuationSeparator" w:id="0">
    <w:p w:rsidR="00162C73" w:rsidRDefault="00162C73" w:rsidP="0078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FAE"/>
    <w:multiLevelType w:val="multilevel"/>
    <w:tmpl w:val="D82C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F5B53"/>
    <w:multiLevelType w:val="multilevel"/>
    <w:tmpl w:val="A3FA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A35CA"/>
    <w:multiLevelType w:val="multilevel"/>
    <w:tmpl w:val="77EC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936DC"/>
    <w:multiLevelType w:val="multilevel"/>
    <w:tmpl w:val="B27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37C08"/>
    <w:multiLevelType w:val="multilevel"/>
    <w:tmpl w:val="314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377E8"/>
    <w:multiLevelType w:val="multilevel"/>
    <w:tmpl w:val="B6B2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86089"/>
    <w:multiLevelType w:val="multilevel"/>
    <w:tmpl w:val="5EFE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60F8E"/>
    <w:multiLevelType w:val="multilevel"/>
    <w:tmpl w:val="BF30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953F7"/>
    <w:multiLevelType w:val="multilevel"/>
    <w:tmpl w:val="C46C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5"/>
  </w:num>
  <w:num w:numId="5">
    <w:abstractNumId w:val="3"/>
  </w:num>
  <w:num w:numId="6">
    <w:abstractNumId w:val="8"/>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DF"/>
    <w:rsid w:val="0000235D"/>
    <w:rsid w:val="000029FC"/>
    <w:rsid w:val="0000432B"/>
    <w:rsid w:val="00010341"/>
    <w:rsid w:val="000115DE"/>
    <w:rsid w:val="000151A3"/>
    <w:rsid w:val="000156D3"/>
    <w:rsid w:val="00017D90"/>
    <w:rsid w:val="00017EBC"/>
    <w:rsid w:val="000200A7"/>
    <w:rsid w:val="00023A8B"/>
    <w:rsid w:val="0002430F"/>
    <w:rsid w:val="00024C74"/>
    <w:rsid w:val="00030CC7"/>
    <w:rsid w:val="00031A05"/>
    <w:rsid w:val="00032E33"/>
    <w:rsid w:val="00034ADC"/>
    <w:rsid w:val="000354BE"/>
    <w:rsid w:val="00043BF9"/>
    <w:rsid w:val="00045F77"/>
    <w:rsid w:val="000460DF"/>
    <w:rsid w:val="0004667C"/>
    <w:rsid w:val="0004777D"/>
    <w:rsid w:val="000515FF"/>
    <w:rsid w:val="0005200A"/>
    <w:rsid w:val="000549A9"/>
    <w:rsid w:val="000569FD"/>
    <w:rsid w:val="00064EC6"/>
    <w:rsid w:val="00072DF8"/>
    <w:rsid w:val="00074218"/>
    <w:rsid w:val="00076F6B"/>
    <w:rsid w:val="00077A9D"/>
    <w:rsid w:val="00082703"/>
    <w:rsid w:val="0008371C"/>
    <w:rsid w:val="00084670"/>
    <w:rsid w:val="00084C15"/>
    <w:rsid w:val="00086D82"/>
    <w:rsid w:val="0008710F"/>
    <w:rsid w:val="000878BA"/>
    <w:rsid w:val="00091C1E"/>
    <w:rsid w:val="0009741F"/>
    <w:rsid w:val="000A0FA5"/>
    <w:rsid w:val="000A22AC"/>
    <w:rsid w:val="000A29A0"/>
    <w:rsid w:val="000A5096"/>
    <w:rsid w:val="000A60D7"/>
    <w:rsid w:val="000A7695"/>
    <w:rsid w:val="000B1DA5"/>
    <w:rsid w:val="000B40DD"/>
    <w:rsid w:val="000B43C0"/>
    <w:rsid w:val="000B48B1"/>
    <w:rsid w:val="000B49E2"/>
    <w:rsid w:val="000B7D63"/>
    <w:rsid w:val="000C0DE3"/>
    <w:rsid w:val="000C1FEC"/>
    <w:rsid w:val="000C2B6E"/>
    <w:rsid w:val="000D1B9A"/>
    <w:rsid w:val="000D2B7D"/>
    <w:rsid w:val="000E0336"/>
    <w:rsid w:val="000F32C8"/>
    <w:rsid w:val="000F54FC"/>
    <w:rsid w:val="000F6985"/>
    <w:rsid w:val="00101629"/>
    <w:rsid w:val="0010239A"/>
    <w:rsid w:val="001024FD"/>
    <w:rsid w:val="00103CA9"/>
    <w:rsid w:val="00104F8D"/>
    <w:rsid w:val="001059E6"/>
    <w:rsid w:val="00112B17"/>
    <w:rsid w:val="00113D2E"/>
    <w:rsid w:val="00115A60"/>
    <w:rsid w:val="001201F5"/>
    <w:rsid w:val="00120B8E"/>
    <w:rsid w:val="00122474"/>
    <w:rsid w:val="00123E8C"/>
    <w:rsid w:val="00125797"/>
    <w:rsid w:val="0012787B"/>
    <w:rsid w:val="00134359"/>
    <w:rsid w:val="00135AB3"/>
    <w:rsid w:val="0013736C"/>
    <w:rsid w:val="0014242E"/>
    <w:rsid w:val="00146DFC"/>
    <w:rsid w:val="00153878"/>
    <w:rsid w:val="0015415C"/>
    <w:rsid w:val="0015512D"/>
    <w:rsid w:val="00157BA3"/>
    <w:rsid w:val="001602C2"/>
    <w:rsid w:val="00160D95"/>
    <w:rsid w:val="0016128D"/>
    <w:rsid w:val="00162C73"/>
    <w:rsid w:val="001632E8"/>
    <w:rsid w:val="00163C25"/>
    <w:rsid w:val="00172696"/>
    <w:rsid w:val="00175E1E"/>
    <w:rsid w:val="00190233"/>
    <w:rsid w:val="001917EA"/>
    <w:rsid w:val="00192668"/>
    <w:rsid w:val="001933AA"/>
    <w:rsid w:val="00197D8D"/>
    <w:rsid w:val="001A0155"/>
    <w:rsid w:val="001A6E13"/>
    <w:rsid w:val="001A7F2D"/>
    <w:rsid w:val="001B056E"/>
    <w:rsid w:val="001B1A42"/>
    <w:rsid w:val="001B1F2F"/>
    <w:rsid w:val="001B2174"/>
    <w:rsid w:val="001B377A"/>
    <w:rsid w:val="001B3969"/>
    <w:rsid w:val="001B3A74"/>
    <w:rsid w:val="001B7BC0"/>
    <w:rsid w:val="001C0D8F"/>
    <w:rsid w:val="001C2064"/>
    <w:rsid w:val="001C2DF5"/>
    <w:rsid w:val="001C3F73"/>
    <w:rsid w:val="001C47F7"/>
    <w:rsid w:val="001C71B1"/>
    <w:rsid w:val="001D4D57"/>
    <w:rsid w:val="001D5352"/>
    <w:rsid w:val="001D5675"/>
    <w:rsid w:val="001D5EC4"/>
    <w:rsid w:val="001D6E9F"/>
    <w:rsid w:val="001E0EDA"/>
    <w:rsid w:val="001E1344"/>
    <w:rsid w:val="001E1D6E"/>
    <w:rsid w:val="001E27C6"/>
    <w:rsid w:val="001E7347"/>
    <w:rsid w:val="001F17CE"/>
    <w:rsid w:val="001F2198"/>
    <w:rsid w:val="001F3389"/>
    <w:rsid w:val="001F66FD"/>
    <w:rsid w:val="001F6E9C"/>
    <w:rsid w:val="001F707C"/>
    <w:rsid w:val="00202CEE"/>
    <w:rsid w:val="00202ED0"/>
    <w:rsid w:val="00203186"/>
    <w:rsid w:val="00205329"/>
    <w:rsid w:val="0020799E"/>
    <w:rsid w:val="00211752"/>
    <w:rsid w:val="00213752"/>
    <w:rsid w:val="002152D3"/>
    <w:rsid w:val="00216A58"/>
    <w:rsid w:val="00216EC0"/>
    <w:rsid w:val="00223DC7"/>
    <w:rsid w:val="00224A65"/>
    <w:rsid w:val="00232BBD"/>
    <w:rsid w:val="002332AC"/>
    <w:rsid w:val="00234BBC"/>
    <w:rsid w:val="002355AC"/>
    <w:rsid w:val="002361BE"/>
    <w:rsid w:val="0024579B"/>
    <w:rsid w:val="0024655C"/>
    <w:rsid w:val="00246BEE"/>
    <w:rsid w:val="00247AD2"/>
    <w:rsid w:val="00252D4A"/>
    <w:rsid w:val="00253797"/>
    <w:rsid w:val="0025492F"/>
    <w:rsid w:val="0025557C"/>
    <w:rsid w:val="002665ED"/>
    <w:rsid w:val="00273AC9"/>
    <w:rsid w:val="002742B3"/>
    <w:rsid w:val="00275BF6"/>
    <w:rsid w:val="00275E25"/>
    <w:rsid w:val="00275F8D"/>
    <w:rsid w:val="002808B6"/>
    <w:rsid w:val="00285D3C"/>
    <w:rsid w:val="002864AA"/>
    <w:rsid w:val="00286F1A"/>
    <w:rsid w:val="00290CC3"/>
    <w:rsid w:val="00292E69"/>
    <w:rsid w:val="00292F4E"/>
    <w:rsid w:val="0029422A"/>
    <w:rsid w:val="00294EC3"/>
    <w:rsid w:val="002962F6"/>
    <w:rsid w:val="00296A67"/>
    <w:rsid w:val="00296CB4"/>
    <w:rsid w:val="002974C5"/>
    <w:rsid w:val="002B087F"/>
    <w:rsid w:val="002B306C"/>
    <w:rsid w:val="002B4463"/>
    <w:rsid w:val="002C3792"/>
    <w:rsid w:val="002C55D0"/>
    <w:rsid w:val="002D14AD"/>
    <w:rsid w:val="002D1E7C"/>
    <w:rsid w:val="002D3E3B"/>
    <w:rsid w:val="002D4E25"/>
    <w:rsid w:val="002E1879"/>
    <w:rsid w:val="002E1980"/>
    <w:rsid w:val="002E29F7"/>
    <w:rsid w:val="002E42DD"/>
    <w:rsid w:val="002E4860"/>
    <w:rsid w:val="002E5AA1"/>
    <w:rsid w:val="002E5AB1"/>
    <w:rsid w:val="002E5E7F"/>
    <w:rsid w:val="002E6F4D"/>
    <w:rsid w:val="002E71A0"/>
    <w:rsid w:val="002F0171"/>
    <w:rsid w:val="002F57DF"/>
    <w:rsid w:val="002F77F9"/>
    <w:rsid w:val="00301431"/>
    <w:rsid w:val="00303DA6"/>
    <w:rsid w:val="003044ED"/>
    <w:rsid w:val="003079DD"/>
    <w:rsid w:val="00310627"/>
    <w:rsid w:val="0031187C"/>
    <w:rsid w:val="00324CCA"/>
    <w:rsid w:val="00325EF4"/>
    <w:rsid w:val="00327AA8"/>
    <w:rsid w:val="00332D56"/>
    <w:rsid w:val="00332E5A"/>
    <w:rsid w:val="0033339B"/>
    <w:rsid w:val="0033508B"/>
    <w:rsid w:val="003415B0"/>
    <w:rsid w:val="0034161C"/>
    <w:rsid w:val="0035010E"/>
    <w:rsid w:val="00350EC6"/>
    <w:rsid w:val="00352CE2"/>
    <w:rsid w:val="00354DD9"/>
    <w:rsid w:val="003551DD"/>
    <w:rsid w:val="00356F05"/>
    <w:rsid w:val="00357470"/>
    <w:rsid w:val="003604B2"/>
    <w:rsid w:val="003629F9"/>
    <w:rsid w:val="00363FEB"/>
    <w:rsid w:val="00364920"/>
    <w:rsid w:val="00364968"/>
    <w:rsid w:val="0036547B"/>
    <w:rsid w:val="0037136D"/>
    <w:rsid w:val="00371803"/>
    <w:rsid w:val="00373E47"/>
    <w:rsid w:val="00374526"/>
    <w:rsid w:val="00374DC3"/>
    <w:rsid w:val="00375C7B"/>
    <w:rsid w:val="00377A4A"/>
    <w:rsid w:val="00380566"/>
    <w:rsid w:val="00381076"/>
    <w:rsid w:val="00381C2B"/>
    <w:rsid w:val="00383255"/>
    <w:rsid w:val="00384778"/>
    <w:rsid w:val="00397EF9"/>
    <w:rsid w:val="003A28F2"/>
    <w:rsid w:val="003A50C4"/>
    <w:rsid w:val="003A5C55"/>
    <w:rsid w:val="003C226B"/>
    <w:rsid w:val="003C29FB"/>
    <w:rsid w:val="003C2EB0"/>
    <w:rsid w:val="003D17E9"/>
    <w:rsid w:val="003D2BFF"/>
    <w:rsid w:val="003D59C5"/>
    <w:rsid w:val="003D6CBF"/>
    <w:rsid w:val="003D7338"/>
    <w:rsid w:val="003D7B07"/>
    <w:rsid w:val="003E4446"/>
    <w:rsid w:val="003F0162"/>
    <w:rsid w:val="003F0F01"/>
    <w:rsid w:val="003F22AB"/>
    <w:rsid w:val="003F29E5"/>
    <w:rsid w:val="003F5C71"/>
    <w:rsid w:val="003F64F6"/>
    <w:rsid w:val="003F6A2E"/>
    <w:rsid w:val="003F7155"/>
    <w:rsid w:val="003F78D1"/>
    <w:rsid w:val="00401755"/>
    <w:rsid w:val="00407025"/>
    <w:rsid w:val="0040751B"/>
    <w:rsid w:val="00410148"/>
    <w:rsid w:val="0041123E"/>
    <w:rsid w:val="00412B6B"/>
    <w:rsid w:val="00414EEC"/>
    <w:rsid w:val="00414F26"/>
    <w:rsid w:val="0041523F"/>
    <w:rsid w:val="00415ABB"/>
    <w:rsid w:val="00417A74"/>
    <w:rsid w:val="00423C2C"/>
    <w:rsid w:val="004331FF"/>
    <w:rsid w:val="00435508"/>
    <w:rsid w:val="00436DC7"/>
    <w:rsid w:val="00440D03"/>
    <w:rsid w:val="00440EC6"/>
    <w:rsid w:val="00441734"/>
    <w:rsid w:val="0044238F"/>
    <w:rsid w:val="004472C0"/>
    <w:rsid w:val="0044742F"/>
    <w:rsid w:val="00447B64"/>
    <w:rsid w:val="00451154"/>
    <w:rsid w:val="00451A71"/>
    <w:rsid w:val="00453D9A"/>
    <w:rsid w:val="00454A1F"/>
    <w:rsid w:val="0045541F"/>
    <w:rsid w:val="00457141"/>
    <w:rsid w:val="00463326"/>
    <w:rsid w:val="00463F6E"/>
    <w:rsid w:val="00465098"/>
    <w:rsid w:val="0046512B"/>
    <w:rsid w:val="004656BA"/>
    <w:rsid w:val="00467A21"/>
    <w:rsid w:val="004700C2"/>
    <w:rsid w:val="004710FF"/>
    <w:rsid w:val="00471EBB"/>
    <w:rsid w:val="00471F97"/>
    <w:rsid w:val="00474446"/>
    <w:rsid w:val="004747D4"/>
    <w:rsid w:val="00477E68"/>
    <w:rsid w:val="00484B20"/>
    <w:rsid w:val="004866EF"/>
    <w:rsid w:val="00490805"/>
    <w:rsid w:val="00490B3B"/>
    <w:rsid w:val="00494417"/>
    <w:rsid w:val="00494829"/>
    <w:rsid w:val="0049792E"/>
    <w:rsid w:val="004A2973"/>
    <w:rsid w:val="004A3624"/>
    <w:rsid w:val="004A3F9D"/>
    <w:rsid w:val="004A5F5C"/>
    <w:rsid w:val="004A6556"/>
    <w:rsid w:val="004B48FA"/>
    <w:rsid w:val="004B64C4"/>
    <w:rsid w:val="004B7FAC"/>
    <w:rsid w:val="004C18BF"/>
    <w:rsid w:val="004C28F9"/>
    <w:rsid w:val="004C2E91"/>
    <w:rsid w:val="004C6612"/>
    <w:rsid w:val="004D29F7"/>
    <w:rsid w:val="004D2C40"/>
    <w:rsid w:val="004D4977"/>
    <w:rsid w:val="004D4E9C"/>
    <w:rsid w:val="004D7614"/>
    <w:rsid w:val="004D7864"/>
    <w:rsid w:val="004E0309"/>
    <w:rsid w:val="004E40C8"/>
    <w:rsid w:val="004E6490"/>
    <w:rsid w:val="004E74CB"/>
    <w:rsid w:val="004E7A5F"/>
    <w:rsid w:val="004F047E"/>
    <w:rsid w:val="004F2583"/>
    <w:rsid w:val="004F36F5"/>
    <w:rsid w:val="004F3993"/>
    <w:rsid w:val="004F3AA8"/>
    <w:rsid w:val="004F55D6"/>
    <w:rsid w:val="00500F58"/>
    <w:rsid w:val="0050188C"/>
    <w:rsid w:val="0050229E"/>
    <w:rsid w:val="00502951"/>
    <w:rsid w:val="00512A15"/>
    <w:rsid w:val="00515406"/>
    <w:rsid w:val="0051592D"/>
    <w:rsid w:val="00515E58"/>
    <w:rsid w:val="00515E68"/>
    <w:rsid w:val="00521903"/>
    <w:rsid w:val="00523C3F"/>
    <w:rsid w:val="0052400F"/>
    <w:rsid w:val="0052439D"/>
    <w:rsid w:val="005320A5"/>
    <w:rsid w:val="005341CF"/>
    <w:rsid w:val="00535250"/>
    <w:rsid w:val="00537D1B"/>
    <w:rsid w:val="00542615"/>
    <w:rsid w:val="00542D4F"/>
    <w:rsid w:val="00543C1C"/>
    <w:rsid w:val="00545D26"/>
    <w:rsid w:val="005478DC"/>
    <w:rsid w:val="0055039C"/>
    <w:rsid w:val="00550441"/>
    <w:rsid w:val="005523FE"/>
    <w:rsid w:val="005561F6"/>
    <w:rsid w:val="00556758"/>
    <w:rsid w:val="00556D71"/>
    <w:rsid w:val="00562752"/>
    <w:rsid w:val="00563DF5"/>
    <w:rsid w:val="005645F4"/>
    <w:rsid w:val="00564D25"/>
    <w:rsid w:val="00567806"/>
    <w:rsid w:val="00570F0E"/>
    <w:rsid w:val="0057514E"/>
    <w:rsid w:val="00580524"/>
    <w:rsid w:val="00581C14"/>
    <w:rsid w:val="00584600"/>
    <w:rsid w:val="00584A97"/>
    <w:rsid w:val="005907F0"/>
    <w:rsid w:val="00593BB9"/>
    <w:rsid w:val="00597A82"/>
    <w:rsid w:val="005A0E76"/>
    <w:rsid w:val="005A6747"/>
    <w:rsid w:val="005A709E"/>
    <w:rsid w:val="005A72F1"/>
    <w:rsid w:val="005B336C"/>
    <w:rsid w:val="005B415D"/>
    <w:rsid w:val="005B754A"/>
    <w:rsid w:val="005C0B06"/>
    <w:rsid w:val="005C1862"/>
    <w:rsid w:val="005C45EE"/>
    <w:rsid w:val="005C5724"/>
    <w:rsid w:val="005C64DC"/>
    <w:rsid w:val="005C7042"/>
    <w:rsid w:val="005D0AB1"/>
    <w:rsid w:val="005D42C0"/>
    <w:rsid w:val="005D6214"/>
    <w:rsid w:val="005E2F18"/>
    <w:rsid w:val="005E3A78"/>
    <w:rsid w:val="005E451F"/>
    <w:rsid w:val="005F102B"/>
    <w:rsid w:val="005F1CAF"/>
    <w:rsid w:val="005F20FE"/>
    <w:rsid w:val="005F2AF3"/>
    <w:rsid w:val="005F31F4"/>
    <w:rsid w:val="005F3EF2"/>
    <w:rsid w:val="005F4F51"/>
    <w:rsid w:val="005F7FA3"/>
    <w:rsid w:val="00600CBB"/>
    <w:rsid w:val="0060263F"/>
    <w:rsid w:val="00603917"/>
    <w:rsid w:val="00605125"/>
    <w:rsid w:val="00605614"/>
    <w:rsid w:val="00610449"/>
    <w:rsid w:val="00611044"/>
    <w:rsid w:val="006111AA"/>
    <w:rsid w:val="006116D3"/>
    <w:rsid w:val="006171BE"/>
    <w:rsid w:val="00620DD1"/>
    <w:rsid w:val="00622585"/>
    <w:rsid w:val="00626572"/>
    <w:rsid w:val="006300A7"/>
    <w:rsid w:val="006308F4"/>
    <w:rsid w:val="00631E57"/>
    <w:rsid w:val="0063339A"/>
    <w:rsid w:val="00634BF0"/>
    <w:rsid w:val="00634EF6"/>
    <w:rsid w:val="00635A43"/>
    <w:rsid w:val="00643C79"/>
    <w:rsid w:val="006476C6"/>
    <w:rsid w:val="006512BA"/>
    <w:rsid w:val="0065172C"/>
    <w:rsid w:val="00654E69"/>
    <w:rsid w:val="006564C8"/>
    <w:rsid w:val="00662AB4"/>
    <w:rsid w:val="00663571"/>
    <w:rsid w:val="00663C3E"/>
    <w:rsid w:val="00667394"/>
    <w:rsid w:val="006702EC"/>
    <w:rsid w:val="006738AD"/>
    <w:rsid w:val="00674B09"/>
    <w:rsid w:val="0067655F"/>
    <w:rsid w:val="00677F55"/>
    <w:rsid w:val="00680E1C"/>
    <w:rsid w:val="0068294A"/>
    <w:rsid w:val="00683196"/>
    <w:rsid w:val="00683E82"/>
    <w:rsid w:val="006853B8"/>
    <w:rsid w:val="006927E5"/>
    <w:rsid w:val="00696B07"/>
    <w:rsid w:val="006A13D8"/>
    <w:rsid w:val="006A1D7D"/>
    <w:rsid w:val="006A2AC7"/>
    <w:rsid w:val="006A3405"/>
    <w:rsid w:val="006A63AD"/>
    <w:rsid w:val="006B223B"/>
    <w:rsid w:val="006B22A5"/>
    <w:rsid w:val="006B24CC"/>
    <w:rsid w:val="006B3D34"/>
    <w:rsid w:val="006B71BC"/>
    <w:rsid w:val="006C2548"/>
    <w:rsid w:val="006C30B9"/>
    <w:rsid w:val="006C381A"/>
    <w:rsid w:val="006C504F"/>
    <w:rsid w:val="006C6BBF"/>
    <w:rsid w:val="006C7457"/>
    <w:rsid w:val="006D0A2B"/>
    <w:rsid w:val="006D3187"/>
    <w:rsid w:val="006D3329"/>
    <w:rsid w:val="006D3698"/>
    <w:rsid w:val="006D3717"/>
    <w:rsid w:val="006D4B02"/>
    <w:rsid w:val="006E312B"/>
    <w:rsid w:val="006E44C4"/>
    <w:rsid w:val="006E4ED8"/>
    <w:rsid w:val="006F1C30"/>
    <w:rsid w:val="006F2A82"/>
    <w:rsid w:val="006F3DAA"/>
    <w:rsid w:val="006F40E2"/>
    <w:rsid w:val="006F6489"/>
    <w:rsid w:val="006F7551"/>
    <w:rsid w:val="006F7B84"/>
    <w:rsid w:val="0070534D"/>
    <w:rsid w:val="0070577C"/>
    <w:rsid w:val="00711AF8"/>
    <w:rsid w:val="007132B3"/>
    <w:rsid w:val="00714BEF"/>
    <w:rsid w:val="007159B0"/>
    <w:rsid w:val="00724510"/>
    <w:rsid w:val="007260AA"/>
    <w:rsid w:val="007308EA"/>
    <w:rsid w:val="00730C48"/>
    <w:rsid w:val="007319ED"/>
    <w:rsid w:val="00732322"/>
    <w:rsid w:val="00733C2A"/>
    <w:rsid w:val="007364F0"/>
    <w:rsid w:val="00737127"/>
    <w:rsid w:val="00737175"/>
    <w:rsid w:val="00737FEE"/>
    <w:rsid w:val="00742146"/>
    <w:rsid w:val="00743C57"/>
    <w:rsid w:val="00743C9B"/>
    <w:rsid w:val="00744C72"/>
    <w:rsid w:val="00750BFD"/>
    <w:rsid w:val="00751605"/>
    <w:rsid w:val="00753B2B"/>
    <w:rsid w:val="00756B58"/>
    <w:rsid w:val="00756E2C"/>
    <w:rsid w:val="00757019"/>
    <w:rsid w:val="007606F6"/>
    <w:rsid w:val="00761846"/>
    <w:rsid w:val="00766138"/>
    <w:rsid w:val="007672C9"/>
    <w:rsid w:val="007708D9"/>
    <w:rsid w:val="0077109F"/>
    <w:rsid w:val="00774565"/>
    <w:rsid w:val="00775732"/>
    <w:rsid w:val="00775C38"/>
    <w:rsid w:val="00776A77"/>
    <w:rsid w:val="00776EF6"/>
    <w:rsid w:val="00781367"/>
    <w:rsid w:val="00782141"/>
    <w:rsid w:val="00786030"/>
    <w:rsid w:val="00786BB9"/>
    <w:rsid w:val="00787705"/>
    <w:rsid w:val="007918D3"/>
    <w:rsid w:val="00791B51"/>
    <w:rsid w:val="007951F2"/>
    <w:rsid w:val="0079764F"/>
    <w:rsid w:val="00797716"/>
    <w:rsid w:val="00797762"/>
    <w:rsid w:val="007977CC"/>
    <w:rsid w:val="007A01A0"/>
    <w:rsid w:val="007A2229"/>
    <w:rsid w:val="007A4588"/>
    <w:rsid w:val="007A58A9"/>
    <w:rsid w:val="007B1FC5"/>
    <w:rsid w:val="007B2892"/>
    <w:rsid w:val="007B2D49"/>
    <w:rsid w:val="007B2D8A"/>
    <w:rsid w:val="007B7215"/>
    <w:rsid w:val="007C08A9"/>
    <w:rsid w:val="007C70F8"/>
    <w:rsid w:val="007D281A"/>
    <w:rsid w:val="007D4353"/>
    <w:rsid w:val="007D4CFB"/>
    <w:rsid w:val="007D6FE4"/>
    <w:rsid w:val="007D7F77"/>
    <w:rsid w:val="007E062A"/>
    <w:rsid w:val="007E06EF"/>
    <w:rsid w:val="007E0CEC"/>
    <w:rsid w:val="007E1D0B"/>
    <w:rsid w:val="007E3AD5"/>
    <w:rsid w:val="007E4225"/>
    <w:rsid w:val="007E5589"/>
    <w:rsid w:val="007E7BD0"/>
    <w:rsid w:val="007F1C60"/>
    <w:rsid w:val="007F2E98"/>
    <w:rsid w:val="007F3C93"/>
    <w:rsid w:val="00801C21"/>
    <w:rsid w:val="008058DC"/>
    <w:rsid w:val="00806468"/>
    <w:rsid w:val="00811610"/>
    <w:rsid w:val="00811E5E"/>
    <w:rsid w:val="008121D6"/>
    <w:rsid w:val="00816084"/>
    <w:rsid w:val="0082146E"/>
    <w:rsid w:val="00825382"/>
    <w:rsid w:val="00825C3E"/>
    <w:rsid w:val="00826A7A"/>
    <w:rsid w:val="00833C35"/>
    <w:rsid w:val="00834AE7"/>
    <w:rsid w:val="008366AA"/>
    <w:rsid w:val="00840A97"/>
    <w:rsid w:val="00843384"/>
    <w:rsid w:val="0084339D"/>
    <w:rsid w:val="00850741"/>
    <w:rsid w:val="008531C8"/>
    <w:rsid w:val="008575CF"/>
    <w:rsid w:val="00870CD7"/>
    <w:rsid w:val="008714B4"/>
    <w:rsid w:val="008727BF"/>
    <w:rsid w:val="00872E09"/>
    <w:rsid w:val="00873E31"/>
    <w:rsid w:val="00874088"/>
    <w:rsid w:val="0087408A"/>
    <w:rsid w:val="00874895"/>
    <w:rsid w:val="00876160"/>
    <w:rsid w:val="008778CF"/>
    <w:rsid w:val="00880A08"/>
    <w:rsid w:val="00882EFD"/>
    <w:rsid w:val="00883A67"/>
    <w:rsid w:val="0088521F"/>
    <w:rsid w:val="00885A53"/>
    <w:rsid w:val="00887EE4"/>
    <w:rsid w:val="00891BB4"/>
    <w:rsid w:val="0089392A"/>
    <w:rsid w:val="00896413"/>
    <w:rsid w:val="00896D07"/>
    <w:rsid w:val="008A361D"/>
    <w:rsid w:val="008A40AA"/>
    <w:rsid w:val="008A4BF8"/>
    <w:rsid w:val="008A6A6A"/>
    <w:rsid w:val="008B4D20"/>
    <w:rsid w:val="008C1C1D"/>
    <w:rsid w:val="008C20B2"/>
    <w:rsid w:val="008C3358"/>
    <w:rsid w:val="008C760C"/>
    <w:rsid w:val="008D33D2"/>
    <w:rsid w:val="008D5672"/>
    <w:rsid w:val="008D5B90"/>
    <w:rsid w:val="008E4299"/>
    <w:rsid w:val="008E4624"/>
    <w:rsid w:val="008E49F9"/>
    <w:rsid w:val="008E57B6"/>
    <w:rsid w:val="008E77E4"/>
    <w:rsid w:val="008F0EC8"/>
    <w:rsid w:val="008F1BDA"/>
    <w:rsid w:val="008F20BE"/>
    <w:rsid w:val="008F2657"/>
    <w:rsid w:val="008F2A16"/>
    <w:rsid w:val="008F34A2"/>
    <w:rsid w:val="008F43A4"/>
    <w:rsid w:val="008F5060"/>
    <w:rsid w:val="008F5232"/>
    <w:rsid w:val="008F5C27"/>
    <w:rsid w:val="00900388"/>
    <w:rsid w:val="00902E7A"/>
    <w:rsid w:val="0090374C"/>
    <w:rsid w:val="0090695C"/>
    <w:rsid w:val="009073F1"/>
    <w:rsid w:val="00910098"/>
    <w:rsid w:val="009119F3"/>
    <w:rsid w:val="00911FAE"/>
    <w:rsid w:val="00912131"/>
    <w:rsid w:val="00912173"/>
    <w:rsid w:val="00914AA3"/>
    <w:rsid w:val="00914BF5"/>
    <w:rsid w:val="009209DE"/>
    <w:rsid w:val="009219CE"/>
    <w:rsid w:val="00921A5A"/>
    <w:rsid w:val="00921FF9"/>
    <w:rsid w:val="009244AA"/>
    <w:rsid w:val="00925585"/>
    <w:rsid w:val="00925922"/>
    <w:rsid w:val="009259C8"/>
    <w:rsid w:val="00926212"/>
    <w:rsid w:val="009302FE"/>
    <w:rsid w:val="00930C66"/>
    <w:rsid w:val="00930E35"/>
    <w:rsid w:val="00930EC7"/>
    <w:rsid w:val="009312B6"/>
    <w:rsid w:val="00931D0D"/>
    <w:rsid w:val="00931E46"/>
    <w:rsid w:val="00935A13"/>
    <w:rsid w:val="0093779B"/>
    <w:rsid w:val="00941034"/>
    <w:rsid w:val="0094311B"/>
    <w:rsid w:val="00946A37"/>
    <w:rsid w:val="0095031D"/>
    <w:rsid w:val="00952766"/>
    <w:rsid w:val="00955B15"/>
    <w:rsid w:val="009573CB"/>
    <w:rsid w:val="009577CB"/>
    <w:rsid w:val="00957B2E"/>
    <w:rsid w:val="009608C8"/>
    <w:rsid w:val="009614D0"/>
    <w:rsid w:val="009627EA"/>
    <w:rsid w:val="009640EE"/>
    <w:rsid w:val="009671DE"/>
    <w:rsid w:val="00967A8A"/>
    <w:rsid w:val="00970CAF"/>
    <w:rsid w:val="00974E51"/>
    <w:rsid w:val="00981591"/>
    <w:rsid w:val="00984EF3"/>
    <w:rsid w:val="00984FFC"/>
    <w:rsid w:val="00985CEA"/>
    <w:rsid w:val="00987772"/>
    <w:rsid w:val="00990D42"/>
    <w:rsid w:val="00992FC7"/>
    <w:rsid w:val="00993AA2"/>
    <w:rsid w:val="00993EB7"/>
    <w:rsid w:val="00994FDC"/>
    <w:rsid w:val="00995EF0"/>
    <w:rsid w:val="009967DC"/>
    <w:rsid w:val="00997119"/>
    <w:rsid w:val="009A6732"/>
    <w:rsid w:val="009B3E31"/>
    <w:rsid w:val="009B4C02"/>
    <w:rsid w:val="009B4D18"/>
    <w:rsid w:val="009B722C"/>
    <w:rsid w:val="009B72E2"/>
    <w:rsid w:val="009C6175"/>
    <w:rsid w:val="009C6D72"/>
    <w:rsid w:val="009D0666"/>
    <w:rsid w:val="009D0AA0"/>
    <w:rsid w:val="009D4F3D"/>
    <w:rsid w:val="009D5156"/>
    <w:rsid w:val="009D661C"/>
    <w:rsid w:val="009D6697"/>
    <w:rsid w:val="009D7DCC"/>
    <w:rsid w:val="009E16AE"/>
    <w:rsid w:val="009E224B"/>
    <w:rsid w:val="009E3204"/>
    <w:rsid w:val="009E35A1"/>
    <w:rsid w:val="009E3D0D"/>
    <w:rsid w:val="009E5585"/>
    <w:rsid w:val="009F07C2"/>
    <w:rsid w:val="009F07C3"/>
    <w:rsid w:val="009F3EEA"/>
    <w:rsid w:val="00A01C05"/>
    <w:rsid w:val="00A04FF0"/>
    <w:rsid w:val="00A0543B"/>
    <w:rsid w:val="00A06283"/>
    <w:rsid w:val="00A10042"/>
    <w:rsid w:val="00A10060"/>
    <w:rsid w:val="00A10AF8"/>
    <w:rsid w:val="00A16FB8"/>
    <w:rsid w:val="00A2233D"/>
    <w:rsid w:val="00A24BD5"/>
    <w:rsid w:val="00A2634D"/>
    <w:rsid w:val="00A27421"/>
    <w:rsid w:val="00A275B1"/>
    <w:rsid w:val="00A276D2"/>
    <w:rsid w:val="00A31284"/>
    <w:rsid w:val="00A31EA9"/>
    <w:rsid w:val="00A33B0F"/>
    <w:rsid w:val="00A35E91"/>
    <w:rsid w:val="00A3694B"/>
    <w:rsid w:val="00A41C71"/>
    <w:rsid w:val="00A453EA"/>
    <w:rsid w:val="00A459B8"/>
    <w:rsid w:val="00A468DA"/>
    <w:rsid w:val="00A46D0D"/>
    <w:rsid w:val="00A479BB"/>
    <w:rsid w:val="00A562B8"/>
    <w:rsid w:val="00A621C7"/>
    <w:rsid w:val="00A630E9"/>
    <w:rsid w:val="00A654C8"/>
    <w:rsid w:val="00A65F0D"/>
    <w:rsid w:val="00A66995"/>
    <w:rsid w:val="00A66A4D"/>
    <w:rsid w:val="00A708A5"/>
    <w:rsid w:val="00A809A6"/>
    <w:rsid w:val="00A80BF8"/>
    <w:rsid w:val="00A827A6"/>
    <w:rsid w:val="00A84692"/>
    <w:rsid w:val="00A852FD"/>
    <w:rsid w:val="00A87ADA"/>
    <w:rsid w:val="00A94D45"/>
    <w:rsid w:val="00A95254"/>
    <w:rsid w:val="00AA7448"/>
    <w:rsid w:val="00AB0CAF"/>
    <w:rsid w:val="00AB1000"/>
    <w:rsid w:val="00AB2C0D"/>
    <w:rsid w:val="00AB3204"/>
    <w:rsid w:val="00AB39B9"/>
    <w:rsid w:val="00AB5043"/>
    <w:rsid w:val="00AB5A64"/>
    <w:rsid w:val="00AB64D0"/>
    <w:rsid w:val="00AC1AE2"/>
    <w:rsid w:val="00AC4041"/>
    <w:rsid w:val="00AC45A1"/>
    <w:rsid w:val="00AC4908"/>
    <w:rsid w:val="00AD079C"/>
    <w:rsid w:val="00AD0C1C"/>
    <w:rsid w:val="00AD0E2C"/>
    <w:rsid w:val="00AD1C3B"/>
    <w:rsid w:val="00AD2B6F"/>
    <w:rsid w:val="00AD3FA0"/>
    <w:rsid w:val="00AD4B5A"/>
    <w:rsid w:val="00AD5C85"/>
    <w:rsid w:val="00AD6172"/>
    <w:rsid w:val="00AE1716"/>
    <w:rsid w:val="00AE331A"/>
    <w:rsid w:val="00AE3AB9"/>
    <w:rsid w:val="00AE56EF"/>
    <w:rsid w:val="00AE6266"/>
    <w:rsid w:val="00AF358F"/>
    <w:rsid w:val="00AF4556"/>
    <w:rsid w:val="00AF5310"/>
    <w:rsid w:val="00AF6D78"/>
    <w:rsid w:val="00AF78DD"/>
    <w:rsid w:val="00B00474"/>
    <w:rsid w:val="00B028BE"/>
    <w:rsid w:val="00B030CE"/>
    <w:rsid w:val="00B0631B"/>
    <w:rsid w:val="00B06FA4"/>
    <w:rsid w:val="00B07488"/>
    <w:rsid w:val="00B077CA"/>
    <w:rsid w:val="00B07BDA"/>
    <w:rsid w:val="00B118C0"/>
    <w:rsid w:val="00B12043"/>
    <w:rsid w:val="00B1222E"/>
    <w:rsid w:val="00B13057"/>
    <w:rsid w:val="00B14841"/>
    <w:rsid w:val="00B15D13"/>
    <w:rsid w:val="00B17FFD"/>
    <w:rsid w:val="00B2656D"/>
    <w:rsid w:val="00B30AE0"/>
    <w:rsid w:val="00B30FA6"/>
    <w:rsid w:val="00B3428F"/>
    <w:rsid w:val="00B35602"/>
    <w:rsid w:val="00B36F8A"/>
    <w:rsid w:val="00B372DE"/>
    <w:rsid w:val="00B421D0"/>
    <w:rsid w:val="00B43214"/>
    <w:rsid w:val="00B45461"/>
    <w:rsid w:val="00B455AC"/>
    <w:rsid w:val="00B45797"/>
    <w:rsid w:val="00B45A97"/>
    <w:rsid w:val="00B45EE7"/>
    <w:rsid w:val="00B46CB6"/>
    <w:rsid w:val="00B50C0C"/>
    <w:rsid w:val="00B5446F"/>
    <w:rsid w:val="00B546D1"/>
    <w:rsid w:val="00B55FAF"/>
    <w:rsid w:val="00B56B9A"/>
    <w:rsid w:val="00B61C34"/>
    <w:rsid w:val="00B63307"/>
    <w:rsid w:val="00B63F48"/>
    <w:rsid w:val="00B65FC6"/>
    <w:rsid w:val="00B704CB"/>
    <w:rsid w:val="00B71B2D"/>
    <w:rsid w:val="00B71CE1"/>
    <w:rsid w:val="00B7793D"/>
    <w:rsid w:val="00B83398"/>
    <w:rsid w:val="00B90050"/>
    <w:rsid w:val="00B91E62"/>
    <w:rsid w:val="00B95208"/>
    <w:rsid w:val="00B95B26"/>
    <w:rsid w:val="00BA020F"/>
    <w:rsid w:val="00BA5BD1"/>
    <w:rsid w:val="00BA6362"/>
    <w:rsid w:val="00BA65F5"/>
    <w:rsid w:val="00BB1C90"/>
    <w:rsid w:val="00BC15DF"/>
    <w:rsid w:val="00BC2171"/>
    <w:rsid w:val="00BC3DD8"/>
    <w:rsid w:val="00BC4679"/>
    <w:rsid w:val="00BC6501"/>
    <w:rsid w:val="00BC66C8"/>
    <w:rsid w:val="00BD0420"/>
    <w:rsid w:val="00BD3D8D"/>
    <w:rsid w:val="00BD5C3B"/>
    <w:rsid w:val="00BD6382"/>
    <w:rsid w:val="00BE1C2C"/>
    <w:rsid w:val="00BE40FC"/>
    <w:rsid w:val="00BE5B0B"/>
    <w:rsid w:val="00BE60C4"/>
    <w:rsid w:val="00BF092E"/>
    <w:rsid w:val="00BF2F2F"/>
    <w:rsid w:val="00BF3A28"/>
    <w:rsid w:val="00BF3FB3"/>
    <w:rsid w:val="00BF4129"/>
    <w:rsid w:val="00BF4ECA"/>
    <w:rsid w:val="00BF6922"/>
    <w:rsid w:val="00BF6C06"/>
    <w:rsid w:val="00BF6D25"/>
    <w:rsid w:val="00BF768B"/>
    <w:rsid w:val="00C017E9"/>
    <w:rsid w:val="00C0300A"/>
    <w:rsid w:val="00C04D23"/>
    <w:rsid w:val="00C14F53"/>
    <w:rsid w:val="00C15B79"/>
    <w:rsid w:val="00C16ECC"/>
    <w:rsid w:val="00C1702C"/>
    <w:rsid w:val="00C17377"/>
    <w:rsid w:val="00C21957"/>
    <w:rsid w:val="00C237E1"/>
    <w:rsid w:val="00C32E7D"/>
    <w:rsid w:val="00C453AB"/>
    <w:rsid w:val="00C4584C"/>
    <w:rsid w:val="00C475FB"/>
    <w:rsid w:val="00C507CF"/>
    <w:rsid w:val="00C51238"/>
    <w:rsid w:val="00C5179D"/>
    <w:rsid w:val="00C52448"/>
    <w:rsid w:val="00C52924"/>
    <w:rsid w:val="00C52A54"/>
    <w:rsid w:val="00C52CA3"/>
    <w:rsid w:val="00C53952"/>
    <w:rsid w:val="00C570ED"/>
    <w:rsid w:val="00C5767A"/>
    <w:rsid w:val="00C618CC"/>
    <w:rsid w:val="00C62053"/>
    <w:rsid w:val="00C64392"/>
    <w:rsid w:val="00C65005"/>
    <w:rsid w:val="00C65AE3"/>
    <w:rsid w:val="00C66659"/>
    <w:rsid w:val="00C71C29"/>
    <w:rsid w:val="00C75DF8"/>
    <w:rsid w:val="00C81A61"/>
    <w:rsid w:val="00C82737"/>
    <w:rsid w:val="00C94372"/>
    <w:rsid w:val="00C94C15"/>
    <w:rsid w:val="00C9574B"/>
    <w:rsid w:val="00CA1413"/>
    <w:rsid w:val="00CA32B8"/>
    <w:rsid w:val="00CA76A2"/>
    <w:rsid w:val="00CB2326"/>
    <w:rsid w:val="00CB26C3"/>
    <w:rsid w:val="00CB4C17"/>
    <w:rsid w:val="00CB641B"/>
    <w:rsid w:val="00CC2BC1"/>
    <w:rsid w:val="00CC36EB"/>
    <w:rsid w:val="00CC5896"/>
    <w:rsid w:val="00CC6C59"/>
    <w:rsid w:val="00CC6C65"/>
    <w:rsid w:val="00CC796B"/>
    <w:rsid w:val="00CD326A"/>
    <w:rsid w:val="00CD36A2"/>
    <w:rsid w:val="00CD4B52"/>
    <w:rsid w:val="00CD557A"/>
    <w:rsid w:val="00CD789E"/>
    <w:rsid w:val="00CD7AD2"/>
    <w:rsid w:val="00CE323D"/>
    <w:rsid w:val="00CE33AF"/>
    <w:rsid w:val="00CE36DC"/>
    <w:rsid w:val="00CE64E8"/>
    <w:rsid w:val="00CE7204"/>
    <w:rsid w:val="00CE760F"/>
    <w:rsid w:val="00CE761E"/>
    <w:rsid w:val="00CF052F"/>
    <w:rsid w:val="00CF17B3"/>
    <w:rsid w:val="00CF42E9"/>
    <w:rsid w:val="00CF52ED"/>
    <w:rsid w:val="00CF62B8"/>
    <w:rsid w:val="00CF779E"/>
    <w:rsid w:val="00D00B05"/>
    <w:rsid w:val="00D058A9"/>
    <w:rsid w:val="00D1209A"/>
    <w:rsid w:val="00D12A93"/>
    <w:rsid w:val="00D13052"/>
    <w:rsid w:val="00D146EC"/>
    <w:rsid w:val="00D2159B"/>
    <w:rsid w:val="00D2289B"/>
    <w:rsid w:val="00D2339D"/>
    <w:rsid w:val="00D24C17"/>
    <w:rsid w:val="00D26712"/>
    <w:rsid w:val="00D30537"/>
    <w:rsid w:val="00D306EF"/>
    <w:rsid w:val="00D30A7D"/>
    <w:rsid w:val="00D30F21"/>
    <w:rsid w:val="00D325E2"/>
    <w:rsid w:val="00D33F9F"/>
    <w:rsid w:val="00D3467F"/>
    <w:rsid w:val="00D35522"/>
    <w:rsid w:val="00D4041D"/>
    <w:rsid w:val="00D40B2C"/>
    <w:rsid w:val="00D4258E"/>
    <w:rsid w:val="00D45CFF"/>
    <w:rsid w:val="00D5122E"/>
    <w:rsid w:val="00D52E81"/>
    <w:rsid w:val="00D5531B"/>
    <w:rsid w:val="00D55AD0"/>
    <w:rsid w:val="00D62472"/>
    <w:rsid w:val="00D628F3"/>
    <w:rsid w:val="00D63EB3"/>
    <w:rsid w:val="00D640B9"/>
    <w:rsid w:val="00D670A5"/>
    <w:rsid w:val="00D72163"/>
    <w:rsid w:val="00D725D8"/>
    <w:rsid w:val="00D7349A"/>
    <w:rsid w:val="00D74A88"/>
    <w:rsid w:val="00D7694A"/>
    <w:rsid w:val="00D85A0A"/>
    <w:rsid w:val="00D87277"/>
    <w:rsid w:val="00D9135A"/>
    <w:rsid w:val="00D91F7E"/>
    <w:rsid w:val="00D931AD"/>
    <w:rsid w:val="00D95A03"/>
    <w:rsid w:val="00D970AC"/>
    <w:rsid w:val="00D97955"/>
    <w:rsid w:val="00DA042B"/>
    <w:rsid w:val="00DA08C7"/>
    <w:rsid w:val="00DA30CE"/>
    <w:rsid w:val="00DA427C"/>
    <w:rsid w:val="00DA4642"/>
    <w:rsid w:val="00DA4FD6"/>
    <w:rsid w:val="00DA552F"/>
    <w:rsid w:val="00DA5D60"/>
    <w:rsid w:val="00DA6639"/>
    <w:rsid w:val="00DA6BBB"/>
    <w:rsid w:val="00DB024A"/>
    <w:rsid w:val="00DB19E2"/>
    <w:rsid w:val="00DB256A"/>
    <w:rsid w:val="00DB2885"/>
    <w:rsid w:val="00DB28B9"/>
    <w:rsid w:val="00DB3328"/>
    <w:rsid w:val="00DB43F5"/>
    <w:rsid w:val="00DB6427"/>
    <w:rsid w:val="00DB6B43"/>
    <w:rsid w:val="00DB6CD6"/>
    <w:rsid w:val="00DC3811"/>
    <w:rsid w:val="00DC4E43"/>
    <w:rsid w:val="00DC5E29"/>
    <w:rsid w:val="00DC6136"/>
    <w:rsid w:val="00DD69A5"/>
    <w:rsid w:val="00DD766B"/>
    <w:rsid w:val="00DE15B2"/>
    <w:rsid w:val="00DE1F14"/>
    <w:rsid w:val="00DE2220"/>
    <w:rsid w:val="00DE297C"/>
    <w:rsid w:val="00DE2F62"/>
    <w:rsid w:val="00DE3EDA"/>
    <w:rsid w:val="00DE4F42"/>
    <w:rsid w:val="00DF23DA"/>
    <w:rsid w:val="00DF28D7"/>
    <w:rsid w:val="00DF2D9C"/>
    <w:rsid w:val="00DF35EE"/>
    <w:rsid w:val="00DF667F"/>
    <w:rsid w:val="00E00483"/>
    <w:rsid w:val="00E01688"/>
    <w:rsid w:val="00E0170A"/>
    <w:rsid w:val="00E026AC"/>
    <w:rsid w:val="00E0281B"/>
    <w:rsid w:val="00E06020"/>
    <w:rsid w:val="00E102B7"/>
    <w:rsid w:val="00E13F9F"/>
    <w:rsid w:val="00E1727E"/>
    <w:rsid w:val="00E175E9"/>
    <w:rsid w:val="00E177FC"/>
    <w:rsid w:val="00E21E3D"/>
    <w:rsid w:val="00E25E37"/>
    <w:rsid w:val="00E26131"/>
    <w:rsid w:val="00E27AC1"/>
    <w:rsid w:val="00E30728"/>
    <w:rsid w:val="00E319B5"/>
    <w:rsid w:val="00E33FE6"/>
    <w:rsid w:val="00E343DE"/>
    <w:rsid w:val="00E35266"/>
    <w:rsid w:val="00E4267A"/>
    <w:rsid w:val="00E430BF"/>
    <w:rsid w:val="00E43DA0"/>
    <w:rsid w:val="00E45D9F"/>
    <w:rsid w:val="00E47B76"/>
    <w:rsid w:val="00E47C13"/>
    <w:rsid w:val="00E50D8C"/>
    <w:rsid w:val="00E542CC"/>
    <w:rsid w:val="00E55307"/>
    <w:rsid w:val="00E55AA7"/>
    <w:rsid w:val="00E57942"/>
    <w:rsid w:val="00E60FE4"/>
    <w:rsid w:val="00E63A5B"/>
    <w:rsid w:val="00E6494D"/>
    <w:rsid w:val="00E652CE"/>
    <w:rsid w:val="00E6600D"/>
    <w:rsid w:val="00E74B26"/>
    <w:rsid w:val="00E75D87"/>
    <w:rsid w:val="00E76E50"/>
    <w:rsid w:val="00E77FE3"/>
    <w:rsid w:val="00E85315"/>
    <w:rsid w:val="00E95490"/>
    <w:rsid w:val="00EA1EEA"/>
    <w:rsid w:val="00EA23B7"/>
    <w:rsid w:val="00EA6244"/>
    <w:rsid w:val="00EA7AC1"/>
    <w:rsid w:val="00EB27D3"/>
    <w:rsid w:val="00EB5E98"/>
    <w:rsid w:val="00EB69B5"/>
    <w:rsid w:val="00EB6F0F"/>
    <w:rsid w:val="00EB704E"/>
    <w:rsid w:val="00EB7785"/>
    <w:rsid w:val="00EC2ACA"/>
    <w:rsid w:val="00EC5262"/>
    <w:rsid w:val="00ED0F8F"/>
    <w:rsid w:val="00ED255B"/>
    <w:rsid w:val="00ED5BA7"/>
    <w:rsid w:val="00EE0D49"/>
    <w:rsid w:val="00EE1A93"/>
    <w:rsid w:val="00EE3782"/>
    <w:rsid w:val="00EE73B2"/>
    <w:rsid w:val="00EF26F2"/>
    <w:rsid w:val="00EF3169"/>
    <w:rsid w:val="00EF339E"/>
    <w:rsid w:val="00EF6447"/>
    <w:rsid w:val="00EF7312"/>
    <w:rsid w:val="00F023DF"/>
    <w:rsid w:val="00F02A55"/>
    <w:rsid w:val="00F07D3A"/>
    <w:rsid w:val="00F111A7"/>
    <w:rsid w:val="00F121F2"/>
    <w:rsid w:val="00F13B20"/>
    <w:rsid w:val="00F146DB"/>
    <w:rsid w:val="00F17BCB"/>
    <w:rsid w:val="00F2317A"/>
    <w:rsid w:val="00F23625"/>
    <w:rsid w:val="00F24A64"/>
    <w:rsid w:val="00F24E69"/>
    <w:rsid w:val="00F252A8"/>
    <w:rsid w:val="00F31154"/>
    <w:rsid w:val="00F31493"/>
    <w:rsid w:val="00F31A57"/>
    <w:rsid w:val="00F3212C"/>
    <w:rsid w:val="00F3388D"/>
    <w:rsid w:val="00F37E99"/>
    <w:rsid w:val="00F40544"/>
    <w:rsid w:val="00F46E7C"/>
    <w:rsid w:val="00F46EE4"/>
    <w:rsid w:val="00F5152D"/>
    <w:rsid w:val="00F53B7A"/>
    <w:rsid w:val="00F5423D"/>
    <w:rsid w:val="00F55545"/>
    <w:rsid w:val="00F55EC1"/>
    <w:rsid w:val="00F5716E"/>
    <w:rsid w:val="00F57CF3"/>
    <w:rsid w:val="00F6205A"/>
    <w:rsid w:val="00F635A2"/>
    <w:rsid w:val="00F63B44"/>
    <w:rsid w:val="00F6578B"/>
    <w:rsid w:val="00F66E26"/>
    <w:rsid w:val="00F676AB"/>
    <w:rsid w:val="00F678A2"/>
    <w:rsid w:val="00F75FB9"/>
    <w:rsid w:val="00F7712A"/>
    <w:rsid w:val="00F77C08"/>
    <w:rsid w:val="00F80039"/>
    <w:rsid w:val="00F80471"/>
    <w:rsid w:val="00F83028"/>
    <w:rsid w:val="00F8454A"/>
    <w:rsid w:val="00F85340"/>
    <w:rsid w:val="00F860F6"/>
    <w:rsid w:val="00F879EB"/>
    <w:rsid w:val="00FA4DE6"/>
    <w:rsid w:val="00FA7FDF"/>
    <w:rsid w:val="00FB1259"/>
    <w:rsid w:val="00FB2E4F"/>
    <w:rsid w:val="00FB46C6"/>
    <w:rsid w:val="00FB6A2B"/>
    <w:rsid w:val="00FB7721"/>
    <w:rsid w:val="00FC0882"/>
    <w:rsid w:val="00FC26B7"/>
    <w:rsid w:val="00FC3F98"/>
    <w:rsid w:val="00FC4513"/>
    <w:rsid w:val="00FC78C6"/>
    <w:rsid w:val="00FD1A16"/>
    <w:rsid w:val="00FD2964"/>
    <w:rsid w:val="00FD3F10"/>
    <w:rsid w:val="00FD60AA"/>
    <w:rsid w:val="00FD73DE"/>
    <w:rsid w:val="00FE13FD"/>
    <w:rsid w:val="00FE51A0"/>
    <w:rsid w:val="00FE7E68"/>
    <w:rsid w:val="00FF06A8"/>
    <w:rsid w:val="00FF3AD1"/>
    <w:rsid w:val="00FF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9740F-FA65-4DFA-A5BC-FD62B33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FDF"/>
    <w:pPr>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styleId="3">
    <w:name w:val="heading 3"/>
    <w:basedOn w:val="a"/>
    <w:link w:val="30"/>
    <w:uiPriority w:val="9"/>
    <w:qFormat/>
    <w:rsid w:val="00252D4A"/>
    <w:pPr>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uiPriority w:val="99"/>
    <w:rsid w:val="00FA7FDF"/>
    <w:rPr>
      <w:rFonts w:ascii="Courier New" w:eastAsia="Times New Roman" w:hAnsi="Courier New" w:cs="Courier New"/>
      <w:sz w:val="24"/>
      <w:szCs w:val="24"/>
      <w:lang w:val="ru-RU" w:eastAsia="uk-UA"/>
    </w:rPr>
  </w:style>
  <w:style w:type="paragraph" w:styleId="a3">
    <w:name w:val="Body Text"/>
    <w:basedOn w:val="a"/>
    <w:link w:val="a4"/>
    <w:uiPriority w:val="99"/>
    <w:unhideWhenUsed/>
    <w:rsid w:val="00FA7FDF"/>
    <w:pPr>
      <w:spacing w:after="120"/>
    </w:pPr>
  </w:style>
  <w:style w:type="character" w:customStyle="1" w:styleId="a4">
    <w:name w:val="Основний текст Знак"/>
    <w:basedOn w:val="a0"/>
    <w:link w:val="a3"/>
    <w:uiPriority w:val="99"/>
    <w:rsid w:val="00FA7FDF"/>
    <w:rPr>
      <w:rFonts w:ascii="Times New Roman" w:eastAsia="Times New Roman" w:hAnsi="Times New Roman" w:cs="Times New Roman"/>
      <w:sz w:val="24"/>
      <w:szCs w:val="24"/>
      <w:lang w:val="ru-RU" w:eastAsia="uk-UA"/>
    </w:rPr>
  </w:style>
  <w:style w:type="paragraph" w:styleId="a5">
    <w:name w:val="Body Text Indent"/>
    <w:basedOn w:val="a"/>
    <w:link w:val="a6"/>
    <w:uiPriority w:val="99"/>
    <w:unhideWhenUsed/>
    <w:rsid w:val="00FA7FDF"/>
    <w:pPr>
      <w:spacing w:after="120"/>
      <w:ind w:left="283"/>
    </w:pPr>
  </w:style>
  <w:style w:type="character" w:customStyle="1" w:styleId="a6">
    <w:name w:val="Основний текст з відступом Знак"/>
    <w:basedOn w:val="a0"/>
    <w:link w:val="a5"/>
    <w:uiPriority w:val="99"/>
    <w:rsid w:val="00FA7FDF"/>
    <w:rPr>
      <w:rFonts w:ascii="Times New Roman" w:eastAsia="Times New Roman" w:hAnsi="Times New Roman" w:cs="Times New Roman"/>
      <w:sz w:val="24"/>
      <w:szCs w:val="24"/>
      <w:lang w:val="ru-RU" w:eastAsia="uk-UA"/>
    </w:rPr>
  </w:style>
  <w:style w:type="paragraph" w:styleId="2">
    <w:name w:val="Body Text 2"/>
    <w:basedOn w:val="a"/>
    <w:link w:val="20"/>
    <w:uiPriority w:val="99"/>
    <w:unhideWhenUsed/>
    <w:rsid w:val="00FA7FDF"/>
    <w:pPr>
      <w:ind w:right="1019"/>
      <w:jc w:val="both"/>
    </w:pPr>
    <w:rPr>
      <w:rFonts w:ascii="Peterburg" w:hAnsi="Peterburg" w:cs="Peterburg"/>
      <w:b/>
      <w:bCs/>
      <w:sz w:val="28"/>
      <w:szCs w:val="28"/>
    </w:rPr>
  </w:style>
  <w:style w:type="character" w:customStyle="1" w:styleId="20">
    <w:name w:val="Основний текст 2 Знак"/>
    <w:basedOn w:val="a0"/>
    <w:link w:val="2"/>
    <w:uiPriority w:val="99"/>
    <w:rsid w:val="00FA7FDF"/>
    <w:rPr>
      <w:rFonts w:ascii="Peterburg" w:eastAsia="Times New Roman" w:hAnsi="Peterburg" w:cs="Peterburg"/>
      <w:b/>
      <w:bCs/>
      <w:sz w:val="28"/>
      <w:szCs w:val="28"/>
      <w:lang w:val="ru-RU" w:eastAsia="uk-UA"/>
    </w:rPr>
  </w:style>
  <w:style w:type="paragraph" w:styleId="a7">
    <w:name w:val="Block Text"/>
    <w:basedOn w:val="a"/>
    <w:semiHidden/>
    <w:unhideWhenUsed/>
    <w:rsid w:val="00FA7FDF"/>
    <w:pPr>
      <w:autoSpaceDE/>
      <w:autoSpaceDN/>
      <w:adjustRightInd/>
      <w:spacing w:line="232" w:lineRule="auto"/>
      <w:ind w:left="180" w:right="781"/>
      <w:jc w:val="both"/>
    </w:pPr>
    <w:rPr>
      <w:rFonts w:ascii="Peterburg" w:hAnsi="Peterburg"/>
      <w:b/>
      <w:sz w:val="28"/>
      <w:szCs w:val="20"/>
      <w:lang w:eastAsia="ru-RU"/>
    </w:rPr>
  </w:style>
  <w:style w:type="paragraph" w:customStyle="1" w:styleId="p1">
    <w:name w:val="p1"/>
    <w:basedOn w:val="a"/>
    <w:rsid w:val="00FA7FDF"/>
    <w:pPr>
      <w:spacing w:before="100" w:after="100"/>
    </w:pPr>
    <w:rPr>
      <w:rFonts w:ascii="Arial" w:hAnsi="Arial" w:cs="Arial"/>
      <w:b/>
      <w:bCs/>
      <w:color w:val="000080"/>
    </w:rPr>
  </w:style>
  <w:style w:type="paragraph" w:customStyle="1" w:styleId="tit">
    <w:name w:val="tit"/>
    <w:basedOn w:val="a"/>
    <w:uiPriority w:val="99"/>
    <w:rsid w:val="00FA7FDF"/>
    <w:pPr>
      <w:spacing w:before="100" w:after="100"/>
    </w:pPr>
  </w:style>
  <w:style w:type="paragraph" w:customStyle="1" w:styleId="rvps2">
    <w:name w:val="rvps2"/>
    <w:basedOn w:val="a"/>
    <w:rsid w:val="00FA7FDF"/>
    <w:pPr>
      <w:spacing w:before="100" w:after="100"/>
    </w:pPr>
  </w:style>
  <w:style w:type="character" w:customStyle="1" w:styleId="s7d2086b4">
    <w:name w:val="s7d2086b4"/>
    <w:rsid w:val="00FA7FDF"/>
  </w:style>
  <w:style w:type="character" w:customStyle="1" w:styleId="rvts11">
    <w:name w:val="rvts11"/>
    <w:rsid w:val="00FA7FDF"/>
  </w:style>
  <w:style w:type="character" w:styleId="a8">
    <w:name w:val="Hyperlink"/>
    <w:basedOn w:val="a0"/>
    <w:uiPriority w:val="99"/>
    <w:semiHidden/>
    <w:unhideWhenUsed/>
    <w:rsid w:val="00751605"/>
    <w:rPr>
      <w:color w:val="0000FF"/>
      <w:u w:val="single"/>
    </w:rPr>
  </w:style>
  <w:style w:type="paragraph" w:styleId="a9">
    <w:name w:val="footnote text"/>
    <w:basedOn w:val="a"/>
    <w:link w:val="aa"/>
    <w:uiPriority w:val="99"/>
    <w:semiHidden/>
    <w:unhideWhenUsed/>
    <w:rsid w:val="00786030"/>
    <w:rPr>
      <w:sz w:val="20"/>
      <w:szCs w:val="20"/>
    </w:rPr>
  </w:style>
  <w:style w:type="character" w:customStyle="1" w:styleId="aa">
    <w:name w:val="Текст виноски Знак"/>
    <w:basedOn w:val="a0"/>
    <w:link w:val="a9"/>
    <w:uiPriority w:val="99"/>
    <w:semiHidden/>
    <w:rsid w:val="00786030"/>
    <w:rPr>
      <w:rFonts w:ascii="Times New Roman" w:eastAsia="Times New Roman" w:hAnsi="Times New Roman" w:cs="Times New Roman"/>
      <w:sz w:val="20"/>
      <w:szCs w:val="20"/>
      <w:lang w:val="uk-UA" w:eastAsia="uk-UA"/>
    </w:rPr>
  </w:style>
  <w:style w:type="character" w:styleId="ab">
    <w:name w:val="footnote reference"/>
    <w:basedOn w:val="a0"/>
    <w:uiPriority w:val="99"/>
    <w:semiHidden/>
    <w:unhideWhenUsed/>
    <w:rsid w:val="00786030"/>
    <w:rPr>
      <w:vertAlign w:val="superscript"/>
    </w:rPr>
  </w:style>
  <w:style w:type="paragraph" w:customStyle="1" w:styleId="1">
    <w:name w:val="Абзац списку1"/>
    <w:basedOn w:val="a"/>
    <w:rsid w:val="00296A67"/>
    <w:pPr>
      <w:autoSpaceDE/>
      <w:autoSpaceDN/>
      <w:adjustRightInd/>
      <w:spacing w:after="200" w:line="276" w:lineRule="auto"/>
      <w:ind w:left="720"/>
      <w:contextualSpacing/>
    </w:pPr>
    <w:rPr>
      <w:rFonts w:ascii="Calibri" w:hAnsi="Calibri"/>
      <w:sz w:val="22"/>
      <w:szCs w:val="22"/>
      <w:lang w:eastAsia="en-US"/>
    </w:rPr>
  </w:style>
  <w:style w:type="character" w:styleId="ac">
    <w:name w:val="Emphasis"/>
    <w:uiPriority w:val="20"/>
    <w:qFormat/>
    <w:rsid w:val="00B91E62"/>
    <w:rPr>
      <w:i/>
      <w:iCs/>
    </w:rPr>
  </w:style>
  <w:style w:type="paragraph" w:styleId="ad">
    <w:name w:val="Normal (Web)"/>
    <w:basedOn w:val="a"/>
    <w:uiPriority w:val="99"/>
    <w:unhideWhenUsed/>
    <w:rsid w:val="005F3EF2"/>
    <w:pPr>
      <w:autoSpaceDE/>
      <w:autoSpaceDN/>
      <w:adjustRightInd/>
      <w:spacing w:before="100" w:beforeAutospacing="1" w:after="100" w:afterAutospacing="1"/>
    </w:pPr>
  </w:style>
  <w:style w:type="character" w:customStyle="1" w:styleId="30">
    <w:name w:val="Заголовок 3 Знак"/>
    <w:basedOn w:val="a0"/>
    <w:link w:val="3"/>
    <w:uiPriority w:val="9"/>
    <w:rsid w:val="00252D4A"/>
    <w:rPr>
      <w:rFonts w:ascii="Times New Roman" w:eastAsia="Times New Roman" w:hAnsi="Times New Roman" w:cs="Times New Roman"/>
      <w:b/>
      <w:bCs/>
      <w:sz w:val="27"/>
      <w:szCs w:val="27"/>
      <w:lang w:val="uk-UA" w:eastAsia="uk-UA"/>
    </w:rPr>
  </w:style>
  <w:style w:type="character" w:styleId="ae">
    <w:name w:val="Strong"/>
    <w:basedOn w:val="a0"/>
    <w:uiPriority w:val="22"/>
    <w:qFormat/>
    <w:rsid w:val="00252D4A"/>
    <w:rPr>
      <w:b/>
      <w:bCs/>
    </w:rPr>
  </w:style>
  <w:style w:type="paragraph" w:customStyle="1" w:styleId="pdq2pgselectionanchorcontainer">
    <w:name w:val="pdq2pg_selectionanchorcontainer"/>
    <w:basedOn w:val="a"/>
    <w:rsid w:val="009A6732"/>
    <w:pPr>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5700">
      <w:bodyDiv w:val="1"/>
      <w:marLeft w:val="0"/>
      <w:marRight w:val="0"/>
      <w:marTop w:val="0"/>
      <w:marBottom w:val="0"/>
      <w:divBdr>
        <w:top w:val="none" w:sz="0" w:space="0" w:color="auto"/>
        <w:left w:val="none" w:sz="0" w:space="0" w:color="auto"/>
        <w:bottom w:val="none" w:sz="0" w:space="0" w:color="auto"/>
        <w:right w:val="none" w:sz="0" w:space="0" w:color="auto"/>
      </w:divBdr>
    </w:div>
    <w:div w:id="654722595">
      <w:bodyDiv w:val="1"/>
      <w:marLeft w:val="0"/>
      <w:marRight w:val="0"/>
      <w:marTop w:val="0"/>
      <w:marBottom w:val="0"/>
      <w:divBdr>
        <w:top w:val="none" w:sz="0" w:space="0" w:color="auto"/>
        <w:left w:val="none" w:sz="0" w:space="0" w:color="auto"/>
        <w:bottom w:val="none" w:sz="0" w:space="0" w:color="auto"/>
        <w:right w:val="none" w:sz="0" w:space="0" w:color="auto"/>
      </w:divBdr>
    </w:div>
    <w:div w:id="694501438">
      <w:bodyDiv w:val="1"/>
      <w:marLeft w:val="0"/>
      <w:marRight w:val="0"/>
      <w:marTop w:val="0"/>
      <w:marBottom w:val="0"/>
      <w:divBdr>
        <w:top w:val="none" w:sz="0" w:space="0" w:color="auto"/>
        <w:left w:val="none" w:sz="0" w:space="0" w:color="auto"/>
        <w:bottom w:val="none" w:sz="0" w:space="0" w:color="auto"/>
        <w:right w:val="none" w:sz="0" w:space="0" w:color="auto"/>
      </w:divBdr>
    </w:div>
    <w:div w:id="1384717648">
      <w:bodyDiv w:val="1"/>
      <w:marLeft w:val="0"/>
      <w:marRight w:val="0"/>
      <w:marTop w:val="0"/>
      <w:marBottom w:val="0"/>
      <w:divBdr>
        <w:top w:val="none" w:sz="0" w:space="0" w:color="auto"/>
        <w:left w:val="none" w:sz="0" w:space="0" w:color="auto"/>
        <w:bottom w:val="none" w:sz="0" w:space="0" w:color="auto"/>
        <w:right w:val="none" w:sz="0" w:space="0" w:color="auto"/>
      </w:divBdr>
    </w:div>
    <w:div w:id="1471023395">
      <w:bodyDiv w:val="1"/>
      <w:marLeft w:val="0"/>
      <w:marRight w:val="0"/>
      <w:marTop w:val="0"/>
      <w:marBottom w:val="0"/>
      <w:divBdr>
        <w:top w:val="none" w:sz="0" w:space="0" w:color="auto"/>
        <w:left w:val="none" w:sz="0" w:space="0" w:color="auto"/>
        <w:bottom w:val="none" w:sz="0" w:space="0" w:color="auto"/>
        <w:right w:val="none" w:sz="0" w:space="0" w:color="auto"/>
      </w:divBdr>
    </w:div>
    <w:div w:id="1537111323">
      <w:bodyDiv w:val="1"/>
      <w:marLeft w:val="0"/>
      <w:marRight w:val="0"/>
      <w:marTop w:val="0"/>
      <w:marBottom w:val="0"/>
      <w:divBdr>
        <w:top w:val="none" w:sz="0" w:space="0" w:color="auto"/>
        <w:left w:val="none" w:sz="0" w:space="0" w:color="auto"/>
        <w:bottom w:val="none" w:sz="0" w:space="0" w:color="auto"/>
        <w:right w:val="none" w:sz="0" w:space="0" w:color="auto"/>
      </w:divBdr>
    </w:div>
    <w:div w:id="1718116059">
      <w:bodyDiv w:val="1"/>
      <w:marLeft w:val="0"/>
      <w:marRight w:val="0"/>
      <w:marTop w:val="0"/>
      <w:marBottom w:val="0"/>
      <w:divBdr>
        <w:top w:val="none" w:sz="0" w:space="0" w:color="auto"/>
        <w:left w:val="none" w:sz="0" w:space="0" w:color="auto"/>
        <w:bottom w:val="none" w:sz="0" w:space="0" w:color="auto"/>
        <w:right w:val="none" w:sz="0" w:space="0" w:color="auto"/>
      </w:divBdr>
    </w:div>
    <w:div w:id="1889993673">
      <w:bodyDiv w:val="1"/>
      <w:marLeft w:val="0"/>
      <w:marRight w:val="0"/>
      <w:marTop w:val="0"/>
      <w:marBottom w:val="0"/>
      <w:divBdr>
        <w:top w:val="none" w:sz="0" w:space="0" w:color="auto"/>
        <w:left w:val="none" w:sz="0" w:space="0" w:color="auto"/>
        <w:bottom w:val="none" w:sz="0" w:space="0" w:color="auto"/>
        <w:right w:val="none" w:sz="0" w:space="0" w:color="auto"/>
      </w:divBdr>
    </w:div>
    <w:div w:id="19604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C20F9-3B7E-47DA-AFF4-D48C629D6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7328</Words>
  <Characters>4177</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Світлана М. Решетник</cp:lastModifiedBy>
  <cp:revision>2</cp:revision>
  <dcterms:created xsi:type="dcterms:W3CDTF">2026-08-17T09:48:00Z</dcterms:created>
  <dcterms:modified xsi:type="dcterms:W3CDTF">2026-08-17T09:48:00Z</dcterms:modified>
</cp:coreProperties>
</file>