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5F" w:rsidRPr="00774F8A" w:rsidRDefault="00B0235F" w:rsidP="0077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35F" w:rsidRPr="00774F8A" w:rsidRDefault="00B0235F" w:rsidP="0077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35F" w:rsidRPr="00774F8A" w:rsidRDefault="00B0235F" w:rsidP="0077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35F" w:rsidRPr="00774F8A" w:rsidRDefault="00B0235F" w:rsidP="0077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35F" w:rsidRPr="00774F8A" w:rsidRDefault="00B0235F" w:rsidP="0077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35F" w:rsidRPr="00774F8A" w:rsidRDefault="00B0235F" w:rsidP="0077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35F" w:rsidRPr="00774F8A" w:rsidRDefault="00B0235F" w:rsidP="0077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8A" w:rsidRPr="00774F8A" w:rsidRDefault="00774F8A" w:rsidP="00774F8A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Pr="007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конституційною скаргою </w:t>
      </w:r>
      <w:r w:rsidRPr="00774F8A">
        <w:rPr>
          <w:rFonts w:ascii="Times New Roman" w:hAnsi="Times New Roman" w:cs="Times New Roman"/>
          <w:b/>
          <w:sz w:val="28"/>
          <w:szCs w:val="28"/>
        </w:rPr>
        <w:t xml:space="preserve">Товариства з обмеженою відповідальністю </w:t>
      </w:r>
      <w:r w:rsidRPr="00774F8A">
        <w:rPr>
          <w:rFonts w:ascii="Times New Roman" w:hAnsi="Times New Roman" w:cs="Times New Roman"/>
          <w:b/>
          <w:sz w:val="28"/>
          <w:szCs w:val="28"/>
          <w:lang w:eastAsia="ru-RU"/>
        </w:rPr>
        <w:t>„</w:t>
      </w:r>
      <w:r w:rsidRPr="00774F8A">
        <w:rPr>
          <w:rFonts w:ascii="Times New Roman" w:hAnsi="Times New Roman" w:cs="Times New Roman"/>
          <w:b/>
          <w:sz w:val="28"/>
          <w:szCs w:val="28"/>
        </w:rPr>
        <w:t>ГЕЛІОС ВІЖН УКРАЇНА</w:t>
      </w:r>
      <w:r w:rsidRPr="00774F8A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Pr="00774F8A">
        <w:rPr>
          <w:rFonts w:ascii="Times New Roman" w:hAnsi="Times New Roman" w:cs="Times New Roman"/>
          <w:b/>
          <w:sz w:val="28"/>
          <w:szCs w:val="28"/>
        </w:rPr>
        <w:t xml:space="preserve">  щодо відповідності Конституції України (конституційності) пункту 2 частини першої статті 389 Цивільного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4F8A">
        <w:rPr>
          <w:rFonts w:ascii="Times New Roman" w:hAnsi="Times New Roman" w:cs="Times New Roman"/>
          <w:b/>
          <w:sz w:val="28"/>
          <w:szCs w:val="28"/>
        </w:rPr>
        <w:t>процесуального кодексу України</w:t>
      </w:r>
    </w:p>
    <w:p w:rsidR="00774F8A" w:rsidRPr="00774F8A" w:rsidRDefault="00774F8A" w:rsidP="00774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8A" w:rsidRPr="00774F8A" w:rsidRDefault="00774F8A" w:rsidP="00774F8A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ї в</w:t>
      </w: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Справа № 3-31/2024(62/24)</w:t>
      </w:r>
    </w:p>
    <w:p w:rsidR="00774F8A" w:rsidRPr="00774F8A" w:rsidRDefault="00774F8A" w:rsidP="00774F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774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березня 2024 року</w:t>
      </w:r>
    </w:p>
    <w:p w:rsidR="00774F8A" w:rsidRPr="00774F8A" w:rsidRDefault="00774F8A" w:rsidP="00774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774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-1(І)/2024</w:t>
      </w:r>
    </w:p>
    <w:p w:rsidR="00774F8A" w:rsidRPr="00774F8A" w:rsidRDefault="00774F8A" w:rsidP="0077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8A" w:rsidRPr="00774F8A" w:rsidRDefault="00774F8A" w:rsidP="00774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складі:</w:t>
      </w:r>
    </w:p>
    <w:p w:rsidR="00774F8A" w:rsidRPr="00774F8A" w:rsidRDefault="00774F8A" w:rsidP="00774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8A" w:rsidRPr="00774F8A" w:rsidRDefault="00774F8A" w:rsidP="00774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774F8A" w:rsidRPr="00774F8A" w:rsidRDefault="00774F8A" w:rsidP="00774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Кичун Віктор Іванович,</w:t>
      </w:r>
    </w:p>
    <w:p w:rsidR="00774F8A" w:rsidRPr="00774F8A" w:rsidRDefault="00774F8A" w:rsidP="00774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Філюк Петро Тодосьович,</w:t>
      </w:r>
    </w:p>
    <w:p w:rsidR="00774F8A" w:rsidRPr="00774F8A" w:rsidRDefault="00774F8A" w:rsidP="00774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8A" w:rsidRPr="00774F8A" w:rsidRDefault="00774F8A" w:rsidP="00774F8A">
      <w:pPr>
        <w:pStyle w:val="2"/>
        <w:widowControl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774F8A">
        <w:rPr>
          <w:rFonts w:eastAsia="Times New Roman"/>
          <w:sz w:val="28"/>
          <w:szCs w:val="28"/>
          <w:lang w:eastAsia="ru-RU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774F8A">
        <w:rPr>
          <w:sz w:val="28"/>
          <w:szCs w:val="28"/>
        </w:rPr>
        <w:t xml:space="preserve">Товариства з обмеженою відповідальністю </w:t>
      </w:r>
      <w:r w:rsidRPr="00774F8A">
        <w:rPr>
          <w:sz w:val="28"/>
          <w:szCs w:val="28"/>
          <w:lang w:eastAsia="ru-RU"/>
        </w:rPr>
        <w:t>„</w:t>
      </w:r>
      <w:r w:rsidRPr="00774F8A">
        <w:rPr>
          <w:sz w:val="28"/>
          <w:szCs w:val="28"/>
        </w:rPr>
        <w:t>ГЕЛІОС ВІЖН УКРАЇНА</w:t>
      </w:r>
      <w:r w:rsidRPr="00774F8A">
        <w:rPr>
          <w:color w:val="000000"/>
          <w:sz w:val="28"/>
          <w:szCs w:val="28"/>
        </w:rPr>
        <w:t>“</w:t>
      </w:r>
      <w:r w:rsidRPr="00774F8A">
        <w:rPr>
          <w:sz w:val="28"/>
          <w:szCs w:val="28"/>
        </w:rPr>
        <w:t xml:space="preserve">  щодо відповідності Конституції України (конституційності) пункту 2 частини першої статті 389 Цивільного процесуального кодексу України.</w:t>
      </w:r>
    </w:p>
    <w:p w:rsidR="00774F8A" w:rsidRPr="00774F8A" w:rsidRDefault="00774F8A" w:rsidP="00774F8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8A" w:rsidRPr="00774F8A" w:rsidRDefault="00774F8A" w:rsidP="00774F8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774F8A" w:rsidRPr="00774F8A" w:rsidRDefault="00774F8A" w:rsidP="00774F8A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8A" w:rsidRPr="00774F8A" w:rsidRDefault="00774F8A" w:rsidP="00774F8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774F8A" w:rsidRPr="00774F8A" w:rsidRDefault="00774F8A" w:rsidP="00774F8A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8A" w:rsidRPr="00774F8A" w:rsidRDefault="00774F8A" w:rsidP="00774F8A">
      <w:pPr>
        <w:pStyle w:val="2"/>
        <w:widowControl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774F8A">
        <w:rPr>
          <w:sz w:val="28"/>
          <w:szCs w:val="28"/>
          <w:lang w:eastAsia="ru-RU"/>
        </w:rPr>
        <w:t>1.</w:t>
      </w:r>
      <w:r w:rsidRPr="00774F8A">
        <w:rPr>
          <w:bCs/>
          <w:sz w:val="28"/>
          <w:szCs w:val="28"/>
        </w:rPr>
        <w:t xml:space="preserve"> </w:t>
      </w:r>
      <w:r w:rsidRPr="00774F8A">
        <w:rPr>
          <w:sz w:val="28"/>
          <w:szCs w:val="28"/>
        </w:rPr>
        <w:t xml:space="preserve">Товариство з обмеженою відповідальністю </w:t>
      </w:r>
      <w:r w:rsidRPr="00774F8A">
        <w:rPr>
          <w:sz w:val="28"/>
          <w:szCs w:val="28"/>
          <w:lang w:eastAsia="ru-RU"/>
        </w:rPr>
        <w:t>„</w:t>
      </w:r>
      <w:r w:rsidRPr="00774F8A">
        <w:rPr>
          <w:sz w:val="28"/>
          <w:szCs w:val="28"/>
        </w:rPr>
        <w:t>ГЕЛІОС ВІЖН УКРАЇНА</w:t>
      </w:r>
      <w:r w:rsidRPr="00774F8A">
        <w:rPr>
          <w:color w:val="000000"/>
          <w:sz w:val="28"/>
          <w:szCs w:val="28"/>
        </w:rPr>
        <w:t xml:space="preserve">“ (далі – Товариство) </w:t>
      </w:r>
      <w:r w:rsidRPr="00774F8A">
        <w:rPr>
          <w:bCs/>
          <w:sz w:val="28"/>
          <w:szCs w:val="28"/>
        </w:rPr>
        <w:t xml:space="preserve">звернулося до Конституційного Суду України з клопотанням перевірити на відповідність частині першій статті 8, частині першій статті 24, </w:t>
      </w:r>
      <w:r w:rsidRPr="00774F8A">
        <w:rPr>
          <w:bCs/>
          <w:sz w:val="28"/>
          <w:szCs w:val="28"/>
        </w:rPr>
        <w:lastRenderedPageBreak/>
        <w:t>частині першій статті 55, статті 59, пунктам 1, 8 частини другої статті 129, частині четвертій статті 131</w:t>
      </w:r>
      <w:r w:rsidRPr="00774F8A">
        <w:rPr>
          <w:bCs/>
          <w:sz w:val="28"/>
          <w:szCs w:val="28"/>
          <w:vertAlign w:val="superscript"/>
        </w:rPr>
        <w:t xml:space="preserve">2  </w:t>
      </w:r>
      <w:r w:rsidRPr="00774F8A">
        <w:rPr>
          <w:bCs/>
          <w:sz w:val="28"/>
          <w:szCs w:val="28"/>
        </w:rPr>
        <w:t xml:space="preserve">Конституції України (конституційність) </w:t>
      </w:r>
      <w:r w:rsidRPr="00774F8A">
        <w:rPr>
          <w:sz w:val="28"/>
          <w:szCs w:val="28"/>
        </w:rPr>
        <w:t>пункт 2 частини першої статті 389 Цивільного процесуального кодексу України</w:t>
      </w:r>
      <w:r w:rsidRPr="00774F8A">
        <w:rPr>
          <w:bCs/>
          <w:sz w:val="28"/>
          <w:szCs w:val="28"/>
        </w:rPr>
        <w:t xml:space="preserve"> (далі – Кодекс), який унеможливлює касаційне оскарження ухвал суду першої інстанції про відмову в ухваленні додаткового рішення після їх перегляду в апеляційному порядку.</w:t>
      </w:r>
    </w:p>
    <w:p w:rsidR="00774F8A" w:rsidRPr="00774F8A" w:rsidRDefault="00774F8A" w:rsidP="00774F8A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4F8A">
        <w:rPr>
          <w:sz w:val="28"/>
          <w:szCs w:val="28"/>
        </w:rPr>
        <w:t xml:space="preserve">Згідно з пунктом 2 частини першої статті 389 Кодексу учасники справи, а також особи, які не брали участі у справі, якщо суд вирішив питання про їхні права, свободи, інтереси та (або) обов’язки, мають право оскаржити у касаційному порядку </w:t>
      </w:r>
      <w:bookmarkStart w:id="0" w:name="n8797"/>
      <w:bookmarkStart w:id="1" w:name="n8798"/>
      <w:bookmarkEnd w:id="0"/>
      <w:bookmarkEnd w:id="1"/>
      <w:r w:rsidRPr="00774F8A">
        <w:rPr>
          <w:sz w:val="28"/>
          <w:szCs w:val="28"/>
          <w:lang w:eastAsia="ru-RU"/>
        </w:rPr>
        <w:t>„</w:t>
      </w:r>
      <w:r w:rsidRPr="00774F8A">
        <w:rPr>
          <w:sz w:val="28"/>
          <w:szCs w:val="28"/>
        </w:rPr>
        <w:t>ухвали суду першої інстанції, вказані у</w:t>
      </w:r>
      <w:r>
        <w:rPr>
          <w:sz w:val="28"/>
          <w:szCs w:val="28"/>
        </w:rPr>
        <w:br/>
      </w:r>
      <w:hyperlink r:id="rId6" w:anchor="n8529" w:history="1">
        <w:r w:rsidRPr="00774F8A">
          <w:rPr>
            <w:rStyle w:val="a7"/>
            <w:color w:val="auto"/>
            <w:sz w:val="28"/>
            <w:szCs w:val="28"/>
            <w:u w:val="none"/>
          </w:rPr>
          <w:t>пунктах 3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anchor="n8532" w:history="1">
        <w:r w:rsidRPr="00774F8A">
          <w:rPr>
            <w:rStyle w:val="a7"/>
            <w:color w:val="auto"/>
            <w:sz w:val="28"/>
            <w:szCs w:val="28"/>
            <w:u w:val="none"/>
          </w:rPr>
          <w:t>6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8" w:anchor="n8533" w:history="1">
        <w:r w:rsidRPr="00774F8A">
          <w:rPr>
            <w:rStyle w:val="a7"/>
            <w:color w:val="auto"/>
            <w:sz w:val="28"/>
            <w:szCs w:val="28"/>
            <w:u w:val="none"/>
          </w:rPr>
          <w:t>7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anchor="n8541" w:history="1">
        <w:r w:rsidRPr="00774F8A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0" w:anchor="n8542" w:history="1">
        <w:r w:rsidRPr="00774F8A">
          <w:rPr>
            <w:rStyle w:val="a7"/>
            <w:color w:val="auto"/>
            <w:sz w:val="28"/>
            <w:szCs w:val="28"/>
            <w:u w:val="none"/>
          </w:rPr>
          <w:t>16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anchor="n8548" w:history="1">
        <w:r w:rsidRPr="00774F8A">
          <w:rPr>
            <w:rStyle w:val="a7"/>
            <w:color w:val="auto"/>
            <w:sz w:val="28"/>
            <w:szCs w:val="28"/>
            <w:u w:val="none"/>
          </w:rPr>
          <w:t>22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2" w:anchor="n8549" w:history="1">
        <w:r w:rsidRPr="00774F8A">
          <w:rPr>
            <w:rStyle w:val="a7"/>
            <w:color w:val="auto"/>
            <w:sz w:val="28"/>
            <w:szCs w:val="28"/>
            <w:u w:val="none"/>
          </w:rPr>
          <w:t>23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3" w:anchor="n8553" w:history="1">
        <w:r w:rsidRPr="00774F8A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4" w:anchor="n8554" w:history="1">
        <w:r w:rsidRPr="00774F8A">
          <w:rPr>
            <w:rStyle w:val="a7"/>
            <w:color w:val="auto"/>
            <w:sz w:val="28"/>
            <w:szCs w:val="28"/>
            <w:u w:val="none"/>
          </w:rPr>
          <w:t>28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5" w:anchor="n8556" w:history="1">
        <w:r w:rsidRPr="00774F8A">
          <w:rPr>
            <w:rStyle w:val="a7"/>
            <w:color w:val="auto"/>
            <w:sz w:val="28"/>
            <w:szCs w:val="28"/>
            <w:u w:val="none"/>
          </w:rPr>
          <w:t>30</w:t>
        </w:r>
      </w:hyperlink>
      <w:r w:rsidRPr="00774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6" w:anchor="n8558" w:history="1">
        <w:r w:rsidRPr="00774F8A">
          <w:rPr>
            <w:rStyle w:val="a7"/>
            <w:color w:val="auto"/>
            <w:sz w:val="28"/>
            <w:szCs w:val="28"/>
            <w:u w:val="none"/>
          </w:rPr>
          <w:t>32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</w:t>
      </w:r>
      <w:r w:rsidRPr="00774F8A">
        <w:rPr>
          <w:sz w:val="28"/>
          <w:szCs w:val="28"/>
        </w:rPr>
        <w:t>частини першої статті 353 цього Кодексу, після їх перегляду в апеляційному порядку</w:t>
      </w:r>
      <w:r w:rsidRPr="00774F8A">
        <w:rPr>
          <w:color w:val="000000"/>
          <w:sz w:val="28"/>
          <w:szCs w:val="28"/>
        </w:rPr>
        <w:t>“</w:t>
      </w:r>
      <w:r w:rsidRPr="00774F8A">
        <w:rPr>
          <w:sz w:val="28"/>
          <w:szCs w:val="28"/>
        </w:rPr>
        <w:t>.</w:t>
      </w:r>
    </w:p>
    <w:p w:rsidR="00774F8A" w:rsidRPr="00774F8A" w:rsidRDefault="00774F8A" w:rsidP="00774F8A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F8A" w:rsidRPr="00774F8A" w:rsidRDefault="00774F8A" w:rsidP="00774F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Розв’язуючи питання щодо відкриття конституційного провадження 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справі, Перша колегія суддів Першого сенату Конституційного Суду України виходить із такого.</w:t>
      </w:r>
    </w:p>
    <w:p w:rsidR="00774F8A" w:rsidRPr="00774F8A" w:rsidRDefault="00774F8A" w:rsidP="00774F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є прийнятною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умов її відповідності вимогам, визначеним,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окрема, статтею 55 цього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її зміст і вимоги є очевидно необґрунтованими (частина четверта статті 77).</w:t>
      </w:r>
    </w:p>
    <w:p w:rsidR="00774F8A" w:rsidRPr="00774F8A" w:rsidRDefault="00774F8A" w:rsidP="00774F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Зі змісту конституційної скарги убачається, що Товариство висловлює незгоду із судовими рішеннями у його справі та неможливістю касаційного оскарження </w:t>
      </w:r>
      <w:r w:rsidRPr="00774F8A">
        <w:rPr>
          <w:rFonts w:ascii="Times New Roman" w:hAnsi="Times New Roman" w:cs="Times New Roman"/>
          <w:sz w:val="28"/>
          <w:szCs w:val="28"/>
        </w:rPr>
        <w:t>ухвали про відмову ухвалити додаткове рішення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 це не можна 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вважати обґрунтуванням тверджень щодо неконституційності </w:t>
      </w:r>
      <w:r w:rsidRPr="00774F8A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br/>
      </w:r>
      <w:r w:rsidRPr="00774F8A">
        <w:rPr>
          <w:rFonts w:ascii="Times New Roman" w:hAnsi="Times New Roman" w:cs="Times New Roman"/>
          <w:sz w:val="28"/>
          <w:szCs w:val="28"/>
        </w:rPr>
        <w:t>частини першої статті 389 Кодексу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F8A" w:rsidRPr="00774F8A" w:rsidRDefault="00774F8A" w:rsidP="00774F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суб’єкт права на конституційну скаргу не дотримав вимог пункту 6 частини другої статті 55 Закону України </w:t>
      </w: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згідно з пунктом 4 статті 62 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„Про Конституційний Суд України“ 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неприйнятність конституційної скарги.</w:t>
      </w:r>
    </w:p>
    <w:p w:rsidR="00774F8A" w:rsidRPr="00774F8A" w:rsidRDefault="00774F8A" w:rsidP="00774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4F8A" w:rsidRDefault="00774F8A" w:rsidP="00774F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774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74F8A" w:rsidRPr="00774F8A" w:rsidRDefault="00774F8A" w:rsidP="00774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4F8A" w:rsidRPr="00774F8A" w:rsidRDefault="00774F8A" w:rsidP="00774F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774F8A" w:rsidRPr="00774F8A" w:rsidRDefault="00774F8A" w:rsidP="00774F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8A" w:rsidRPr="00774F8A" w:rsidRDefault="00774F8A" w:rsidP="00774F8A">
      <w:pPr>
        <w:pStyle w:val="2"/>
        <w:widowControl/>
        <w:shd w:val="clear" w:color="auto" w:fill="auto"/>
        <w:spacing w:before="0" w:after="0"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774F8A">
        <w:rPr>
          <w:rFonts w:eastAsia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</w:t>
      </w:r>
      <w:r w:rsidRPr="00774F8A">
        <w:rPr>
          <w:rFonts w:eastAsia="Times New Roman"/>
          <w:sz w:val="28"/>
          <w:szCs w:val="28"/>
          <w:lang w:eastAsia="ru-RU"/>
        </w:rPr>
        <w:br/>
        <w:t xml:space="preserve">за конституційною скаргою </w:t>
      </w:r>
      <w:r w:rsidRPr="00774F8A">
        <w:rPr>
          <w:sz w:val="28"/>
          <w:szCs w:val="28"/>
        </w:rPr>
        <w:t xml:space="preserve">Товариства </w:t>
      </w:r>
      <w:bookmarkStart w:id="2" w:name="_GoBack"/>
      <w:bookmarkEnd w:id="2"/>
      <w:r w:rsidRPr="00774F8A">
        <w:rPr>
          <w:sz w:val="28"/>
          <w:szCs w:val="28"/>
        </w:rPr>
        <w:t xml:space="preserve">з обмеженою відповідальністю </w:t>
      </w:r>
      <w:r w:rsidRPr="00774F8A">
        <w:rPr>
          <w:sz w:val="28"/>
          <w:szCs w:val="28"/>
          <w:lang w:eastAsia="ru-RU"/>
        </w:rPr>
        <w:t>„</w:t>
      </w:r>
      <w:r w:rsidRPr="00774F8A">
        <w:rPr>
          <w:sz w:val="28"/>
          <w:szCs w:val="28"/>
        </w:rPr>
        <w:t>ГЕЛІОС ВІЖН УКРАЇНА</w:t>
      </w:r>
      <w:r w:rsidRPr="00774F8A">
        <w:rPr>
          <w:color w:val="000000"/>
          <w:sz w:val="28"/>
          <w:szCs w:val="28"/>
        </w:rPr>
        <w:t>“</w:t>
      </w:r>
      <w:r w:rsidRPr="00774F8A">
        <w:rPr>
          <w:sz w:val="28"/>
          <w:szCs w:val="28"/>
        </w:rPr>
        <w:t xml:space="preserve"> щодо відповідності Конституції України (конституційності) пункту 2 частини першої статті 389 Цивільного процесуального кодексу України </w:t>
      </w:r>
      <w:r w:rsidRPr="00774F8A">
        <w:rPr>
          <w:rFonts w:eastAsia="Times New Roman"/>
          <w:sz w:val="28"/>
          <w:szCs w:val="28"/>
          <w:lang w:eastAsia="ru-RU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774F8A" w:rsidRPr="00774F8A" w:rsidRDefault="00774F8A" w:rsidP="00774F8A">
      <w:pPr>
        <w:pStyle w:val="2"/>
        <w:widowControl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774F8A" w:rsidRPr="00774F8A" w:rsidRDefault="00774F8A" w:rsidP="00774F8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Ухвала є остаточною.</w:t>
      </w:r>
    </w:p>
    <w:p w:rsidR="00B0235F" w:rsidRDefault="00B0235F" w:rsidP="00B02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5F" w:rsidRDefault="00B0235F" w:rsidP="00B02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2B" w:rsidRDefault="0072332B" w:rsidP="00723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72332B" w:rsidRPr="00EF641C" w:rsidRDefault="0072332B" w:rsidP="0072332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EF641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:rsidR="0072332B" w:rsidRPr="00EF641C" w:rsidRDefault="0072332B" w:rsidP="0072332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EF641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:rsidR="00B0235F" w:rsidRPr="00B0235F" w:rsidRDefault="0072332B" w:rsidP="0072332B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1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B0235F" w:rsidRPr="00B0235F" w:rsidSect="00B0235F">
      <w:headerReference w:type="default" r:id="rId17"/>
      <w:footerReference w:type="defaul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BF" w:rsidRDefault="00A305BF">
      <w:pPr>
        <w:spacing w:after="0" w:line="240" w:lineRule="auto"/>
      </w:pPr>
      <w:r>
        <w:separator/>
      </w:r>
    </w:p>
  </w:endnote>
  <w:endnote w:type="continuationSeparator" w:id="0">
    <w:p w:rsidR="00A305BF" w:rsidRDefault="00A3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F" w:rsidRPr="00B0235F" w:rsidRDefault="00B0235F">
    <w:pPr>
      <w:pStyle w:val="a5"/>
      <w:rPr>
        <w:sz w:val="10"/>
        <w:szCs w:val="10"/>
      </w:rPr>
    </w:pPr>
    <w:r w:rsidRPr="00B0235F">
      <w:rPr>
        <w:sz w:val="10"/>
        <w:szCs w:val="10"/>
      </w:rPr>
      <w:fldChar w:fldCharType="begin"/>
    </w:r>
    <w:r w:rsidRPr="00B0235F">
      <w:rPr>
        <w:sz w:val="10"/>
        <w:szCs w:val="10"/>
      </w:rPr>
      <w:instrText xml:space="preserve"> FILENAME \p \* MERGEFORMAT </w:instrText>
    </w:r>
    <w:r w:rsidRPr="00B0235F">
      <w:rPr>
        <w:sz w:val="10"/>
        <w:szCs w:val="10"/>
      </w:rPr>
      <w:fldChar w:fldCharType="separate"/>
    </w:r>
    <w:r w:rsidR="0072332B">
      <w:rPr>
        <w:noProof/>
        <w:sz w:val="10"/>
        <w:szCs w:val="10"/>
      </w:rPr>
      <w:t>G:\2024\Suddi\I senat\I koleg\15.docx</w:t>
    </w:r>
    <w:r w:rsidRPr="00B0235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5F" w:rsidRPr="00B0235F" w:rsidRDefault="00B0235F">
    <w:pPr>
      <w:pStyle w:val="a5"/>
      <w:rPr>
        <w:sz w:val="10"/>
        <w:szCs w:val="10"/>
      </w:rPr>
    </w:pPr>
    <w:r w:rsidRPr="00B0235F">
      <w:rPr>
        <w:sz w:val="10"/>
        <w:szCs w:val="10"/>
      </w:rPr>
      <w:fldChar w:fldCharType="begin"/>
    </w:r>
    <w:r w:rsidRPr="00B0235F">
      <w:rPr>
        <w:sz w:val="10"/>
        <w:szCs w:val="10"/>
      </w:rPr>
      <w:instrText xml:space="preserve"> FILENAME \p \* MERGEFORMAT </w:instrText>
    </w:r>
    <w:r w:rsidRPr="00B0235F">
      <w:rPr>
        <w:sz w:val="10"/>
        <w:szCs w:val="10"/>
      </w:rPr>
      <w:fldChar w:fldCharType="separate"/>
    </w:r>
    <w:r w:rsidR="0072332B">
      <w:rPr>
        <w:noProof/>
        <w:sz w:val="10"/>
        <w:szCs w:val="10"/>
      </w:rPr>
      <w:t>G:\2024\Suddi\I senat\I koleg\15.docx</w:t>
    </w:r>
    <w:r w:rsidRPr="00B0235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BF" w:rsidRDefault="00A305BF">
      <w:pPr>
        <w:spacing w:after="0" w:line="240" w:lineRule="auto"/>
      </w:pPr>
      <w:r>
        <w:separator/>
      </w:r>
    </w:p>
  </w:footnote>
  <w:footnote w:type="continuationSeparator" w:id="0">
    <w:p w:rsidR="00A305BF" w:rsidRDefault="00A3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101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235F" w:rsidRPr="00B0235F" w:rsidRDefault="00B0235F">
        <w:pPr>
          <w:pStyle w:val="a3"/>
          <w:jc w:val="center"/>
          <w:rPr>
            <w:sz w:val="28"/>
            <w:szCs w:val="28"/>
          </w:rPr>
        </w:pPr>
        <w:r w:rsidRPr="00B0235F">
          <w:rPr>
            <w:sz w:val="28"/>
            <w:szCs w:val="28"/>
          </w:rPr>
          <w:fldChar w:fldCharType="begin"/>
        </w:r>
        <w:r w:rsidRPr="00B0235F">
          <w:rPr>
            <w:sz w:val="28"/>
            <w:szCs w:val="28"/>
          </w:rPr>
          <w:instrText>PAGE   \* MERGEFORMAT</w:instrText>
        </w:r>
        <w:r w:rsidRPr="00B0235F">
          <w:rPr>
            <w:sz w:val="28"/>
            <w:szCs w:val="28"/>
          </w:rPr>
          <w:fldChar w:fldCharType="separate"/>
        </w:r>
        <w:r w:rsidR="0072332B">
          <w:rPr>
            <w:noProof/>
            <w:sz w:val="28"/>
            <w:szCs w:val="28"/>
          </w:rPr>
          <w:t>3</w:t>
        </w:r>
        <w:r w:rsidRPr="00B0235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04D7D"/>
    <w:rsid w:val="000107E1"/>
    <w:rsid w:val="00024360"/>
    <w:rsid w:val="00040675"/>
    <w:rsid w:val="0004352B"/>
    <w:rsid w:val="000564BE"/>
    <w:rsid w:val="00057621"/>
    <w:rsid w:val="00064E72"/>
    <w:rsid w:val="00070F1F"/>
    <w:rsid w:val="00082693"/>
    <w:rsid w:val="000849F3"/>
    <w:rsid w:val="000B7A88"/>
    <w:rsid w:val="000C4F3C"/>
    <w:rsid w:val="000C5F6E"/>
    <w:rsid w:val="000E60EA"/>
    <w:rsid w:val="000F1283"/>
    <w:rsid w:val="000F7436"/>
    <w:rsid w:val="0010439C"/>
    <w:rsid w:val="001203AE"/>
    <w:rsid w:val="0013113E"/>
    <w:rsid w:val="00171E9C"/>
    <w:rsid w:val="00185FE9"/>
    <w:rsid w:val="001B50FF"/>
    <w:rsid w:val="001F086F"/>
    <w:rsid w:val="00203415"/>
    <w:rsid w:val="00224346"/>
    <w:rsid w:val="002246F2"/>
    <w:rsid w:val="002325F6"/>
    <w:rsid w:val="00237275"/>
    <w:rsid w:val="00242443"/>
    <w:rsid w:val="00250F9F"/>
    <w:rsid w:val="0026030D"/>
    <w:rsid w:val="00264D98"/>
    <w:rsid w:val="00270ECE"/>
    <w:rsid w:val="00284B3E"/>
    <w:rsid w:val="002907A5"/>
    <w:rsid w:val="00292B1E"/>
    <w:rsid w:val="002A463C"/>
    <w:rsid w:val="002C45FE"/>
    <w:rsid w:val="002F1AF9"/>
    <w:rsid w:val="002F50B5"/>
    <w:rsid w:val="002F574A"/>
    <w:rsid w:val="002F6585"/>
    <w:rsid w:val="00315896"/>
    <w:rsid w:val="003255F5"/>
    <w:rsid w:val="003327C3"/>
    <w:rsid w:val="003337C3"/>
    <w:rsid w:val="003603AC"/>
    <w:rsid w:val="00375E5E"/>
    <w:rsid w:val="00385261"/>
    <w:rsid w:val="003967F9"/>
    <w:rsid w:val="003B3CED"/>
    <w:rsid w:val="003C445F"/>
    <w:rsid w:val="003C73D6"/>
    <w:rsid w:val="00401D65"/>
    <w:rsid w:val="00407B2A"/>
    <w:rsid w:val="004153F7"/>
    <w:rsid w:val="00432825"/>
    <w:rsid w:val="00433AEA"/>
    <w:rsid w:val="004360A8"/>
    <w:rsid w:val="00440874"/>
    <w:rsid w:val="00494D64"/>
    <w:rsid w:val="004A16E3"/>
    <w:rsid w:val="004A5E54"/>
    <w:rsid w:val="004B57B7"/>
    <w:rsid w:val="004C797B"/>
    <w:rsid w:val="004E4382"/>
    <w:rsid w:val="004F3833"/>
    <w:rsid w:val="004F68E5"/>
    <w:rsid w:val="0051159C"/>
    <w:rsid w:val="00522381"/>
    <w:rsid w:val="00525741"/>
    <w:rsid w:val="00536F75"/>
    <w:rsid w:val="00564134"/>
    <w:rsid w:val="00574C4B"/>
    <w:rsid w:val="00582CC9"/>
    <w:rsid w:val="005845E1"/>
    <w:rsid w:val="00591B43"/>
    <w:rsid w:val="005C1F2C"/>
    <w:rsid w:val="005D46F7"/>
    <w:rsid w:val="005E4633"/>
    <w:rsid w:val="005E6692"/>
    <w:rsid w:val="005F7D35"/>
    <w:rsid w:val="00605796"/>
    <w:rsid w:val="00611AF7"/>
    <w:rsid w:val="00617E40"/>
    <w:rsid w:val="00620B15"/>
    <w:rsid w:val="0064012D"/>
    <w:rsid w:val="00672492"/>
    <w:rsid w:val="006D7CDA"/>
    <w:rsid w:val="006F316E"/>
    <w:rsid w:val="006F3471"/>
    <w:rsid w:val="0072332B"/>
    <w:rsid w:val="00726FB3"/>
    <w:rsid w:val="00727DBB"/>
    <w:rsid w:val="007304E7"/>
    <w:rsid w:val="00734B48"/>
    <w:rsid w:val="007435AB"/>
    <w:rsid w:val="0074444E"/>
    <w:rsid w:val="0076278F"/>
    <w:rsid w:val="00765799"/>
    <w:rsid w:val="00774F8A"/>
    <w:rsid w:val="00777EF4"/>
    <w:rsid w:val="00783AFE"/>
    <w:rsid w:val="00793C63"/>
    <w:rsid w:val="00796CAB"/>
    <w:rsid w:val="007A1EE8"/>
    <w:rsid w:val="007B0417"/>
    <w:rsid w:val="007C4CE2"/>
    <w:rsid w:val="00817667"/>
    <w:rsid w:val="00833DEE"/>
    <w:rsid w:val="00842D91"/>
    <w:rsid w:val="00865443"/>
    <w:rsid w:val="00865A1A"/>
    <w:rsid w:val="008A230E"/>
    <w:rsid w:val="008D1163"/>
    <w:rsid w:val="008E37AA"/>
    <w:rsid w:val="008F68E8"/>
    <w:rsid w:val="00914B51"/>
    <w:rsid w:val="00954850"/>
    <w:rsid w:val="0095714D"/>
    <w:rsid w:val="00970C6C"/>
    <w:rsid w:val="009D5FA4"/>
    <w:rsid w:val="009E20AC"/>
    <w:rsid w:val="00A305BF"/>
    <w:rsid w:val="00A32198"/>
    <w:rsid w:val="00A35801"/>
    <w:rsid w:val="00A6235D"/>
    <w:rsid w:val="00A6514B"/>
    <w:rsid w:val="00A66979"/>
    <w:rsid w:val="00A74D34"/>
    <w:rsid w:val="00A831C7"/>
    <w:rsid w:val="00A861D4"/>
    <w:rsid w:val="00AA22F0"/>
    <w:rsid w:val="00AA2510"/>
    <w:rsid w:val="00AA2DCF"/>
    <w:rsid w:val="00AB26B6"/>
    <w:rsid w:val="00AC6605"/>
    <w:rsid w:val="00AC6963"/>
    <w:rsid w:val="00AC7F3E"/>
    <w:rsid w:val="00AE07F1"/>
    <w:rsid w:val="00AE5C60"/>
    <w:rsid w:val="00B0235F"/>
    <w:rsid w:val="00B127DA"/>
    <w:rsid w:val="00B346F1"/>
    <w:rsid w:val="00B349D3"/>
    <w:rsid w:val="00B40FB1"/>
    <w:rsid w:val="00B7252F"/>
    <w:rsid w:val="00BB2F07"/>
    <w:rsid w:val="00BE767F"/>
    <w:rsid w:val="00C07AD1"/>
    <w:rsid w:val="00C15582"/>
    <w:rsid w:val="00C228A0"/>
    <w:rsid w:val="00C6695B"/>
    <w:rsid w:val="00C83FC9"/>
    <w:rsid w:val="00CB2C0C"/>
    <w:rsid w:val="00CB31D7"/>
    <w:rsid w:val="00CD460D"/>
    <w:rsid w:val="00D0065F"/>
    <w:rsid w:val="00D06F23"/>
    <w:rsid w:val="00D07C16"/>
    <w:rsid w:val="00D21B55"/>
    <w:rsid w:val="00D273FE"/>
    <w:rsid w:val="00D72BC3"/>
    <w:rsid w:val="00D740B2"/>
    <w:rsid w:val="00D81109"/>
    <w:rsid w:val="00D84F5E"/>
    <w:rsid w:val="00DB45BB"/>
    <w:rsid w:val="00DC1EFF"/>
    <w:rsid w:val="00DF48F9"/>
    <w:rsid w:val="00E15AC2"/>
    <w:rsid w:val="00E4184A"/>
    <w:rsid w:val="00E64EC9"/>
    <w:rsid w:val="00EB0238"/>
    <w:rsid w:val="00EC3580"/>
    <w:rsid w:val="00EF16B1"/>
    <w:rsid w:val="00F11688"/>
    <w:rsid w:val="00F3153B"/>
    <w:rsid w:val="00F41180"/>
    <w:rsid w:val="00F4333A"/>
    <w:rsid w:val="00F51AE5"/>
    <w:rsid w:val="00F540D4"/>
    <w:rsid w:val="00F57EA1"/>
    <w:rsid w:val="00F84232"/>
    <w:rsid w:val="00F945DF"/>
    <w:rsid w:val="00F97618"/>
    <w:rsid w:val="00FA1665"/>
    <w:rsid w:val="00FB048B"/>
    <w:rsid w:val="00FC140E"/>
    <w:rsid w:val="00FC405D"/>
    <w:rsid w:val="00FC53F2"/>
    <w:rsid w:val="00FD33F5"/>
    <w:rsid w:val="00FD6F95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8AA3"/>
  <w15:chartTrackingRefBased/>
  <w15:docId w15:val="{DFB31490-FEC0-41E4-AFE0-9893CB2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235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8F68E8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eastAsia="Calibri" w:hAnsi="Times New Roman" w:cs="Times New Roman"/>
      <w:sz w:val="26"/>
      <w:szCs w:val="26"/>
      <w:lang w:eastAsia="uk-UA"/>
    </w:rPr>
  </w:style>
  <w:style w:type="paragraph" w:customStyle="1" w:styleId="3">
    <w:name w:val="Основной текст (3)"/>
    <w:basedOn w:val="a"/>
    <w:rsid w:val="00793C63"/>
    <w:pPr>
      <w:widowControl w:val="0"/>
      <w:shd w:val="clear" w:color="000000" w:fill="FFFFFF"/>
      <w:spacing w:after="0" w:line="322" w:lineRule="exact"/>
      <w:jc w:val="center"/>
    </w:pPr>
    <w:rPr>
      <w:rFonts w:ascii="Times New Roman" w:eastAsia="Calibri" w:hAnsi="Times New Roman" w:cs="Times New Roman"/>
      <w:b/>
      <w:sz w:val="26"/>
      <w:szCs w:val="26"/>
      <w:lang w:eastAsia="uk-UA"/>
    </w:rPr>
  </w:style>
  <w:style w:type="character" w:styleId="a7">
    <w:name w:val="Hyperlink"/>
    <w:semiHidden/>
    <w:rsid w:val="00793C6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C4C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023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13" Type="http://schemas.openxmlformats.org/officeDocument/2006/relationships/hyperlink" Target="https://zakon.rada.gov.ua/laws/show/1618-1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1618-15" TargetMode="External"/><Relationship Id="rId12" Type="http://schemas.openxmlformats.org/officeDocument/2006/relationships/hyperlink" Target="https://zakon.rada.gov.ua/laws/show/1618-1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618-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18-15" TargetMode="External"/><Relationship Id="rId11" Type="http://schemas.openxmlformats.org/officeDocument/2006/relationships/hyperlink" Target="https://zakon.rada.gov.ua/laws/show/1618-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1618-15" TargetMode="External"/><Relationship Id="rId10" Type="http://schemas.openxmlformats.org/officeDocument/2006/relationships/hyperlink" Target="https://zakon.rada.gov.ua/laws/show/1618-15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18-15" TargetMode="External"/><Relationship Id="rId14" Type="http://schemas.openxmlformats.org/officeDocument/2006/relationships/hyperlink" Target="https://zakon.rada.gov.ua/laws/show/1618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2024-03-21T06:35:00Z</cp:lastPrinted>
  <dcterms:created xsi:type="dcterms:W3CDTF">2024-03-20T09:31:00Z</dcterms:created>
  <dcterms:modified xsi:type="dcterms:W3CDTF">2024-03-21T06:35:00Z</dcterms:modified>
</cp:coreProperties>
</file>