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4174C" w:rsidRPr="0094174C" w:rsidRDefault="0094174C" w:rsidP="0094174C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 відмову у відкритті конституційного провадження у справі</w:t>
      </w:r>
      <w:r w:rsidRPr="0094174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  <w:t>за конституційною скаргою Іващенка Василя Миколайовича щодо відповідності Конституції України (конституційності) пункту 3</w:t>
      </w:r>
      <w:r w:rsidRPr="0094174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94174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>частини третьої статті 81 Кримінального кодексу України</w:t>
      </w:r>
    </w:p>
    <w:p w:rsidR="0094174C" w:rsidRPr="0094174C" w:rsidRDefault="0094174C" w:rsidP="009417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и ї в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Справа № 3-95/2025(195/25)</w:t>
      </w:r>
    </w:p>
    <w:p w:rsidR="0094174C" w:rsidRPr="0094174C" w:rsidRDefault="0094174C" w:rsidP="009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 липня 2025 року</w:t>
      </w:r>
    </w:p>
    <w:p w:rsidR="0094174C" w:rsidRPr="0094174C" w:rsidRDefault="0094174C" w:rsidP="009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 49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-3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(І)/2025</w:t>
      </w:r>
      <w:r w:rsidRPr="0094174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4174C" w:rsidRPr="0094174C" w:rsidRDefault="0094174C" w:rsidP="009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Третя колегія суддів Першого сена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 Конституційного Суду України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складі:</w:t>
      </w:r>
    </w:p>
    <w:p w:rsidR="0094174C" w:rsidRPr="0094174C" w:rsidRDefault="0094174C" w:rsidP="0094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Петришина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Олександра Віталійовича – головуючого,</w:t>
      </w:r>
    </w:p>
    <w:p w:rsidR="0094174C" w:rsidRPr="0094174C" w:rsidRDefault="0094174C" w:rsidP="0094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Кичуна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Віктора Івановича,</w:t>
      </w:r>
    </w:p>
    <w:p w:rsidR="0094174C" w:rsidRPr="0094174C" w:rsidRDefault="0094174C" w:rsidP="0094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Олійник Алли Сергіївни – доповідача,</w:t>
      </w:r>
    </w:p>
    <w:p w:rsidR="0094174C" w:rsidRPr="0094174C" w:rsidRDefault="0094174C" w:rsidP="0094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розглянула на засіданні питання про відкриття конституційного провадження у справі за конституційною скаргою Іващенка Василя Миколайовича щодо відповідності Конституції України (конституційності) пункту 3 частини третьої статті 81 Кримінального кодексу України.</w:t>
      </w:r>
    </w:p>
    <w:p w:rsid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Заслухавши суддю-доповідача Олійник А.С. та дослідивши матеріали справи, Третя колегія суддів Першого сенату Конституційного Суду України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с т а н о в и л а:</w:t>
      </w:r>
    </w:p>
    <w:p w:rsidR="0094174C" w:rsidRPr="0094174C" w:rsidRDefault="0094174C" w:rsidP="0094174C">
      <w:pPr>
        <w:keepNext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До Конституційного Суду України звернувся Іващенко В.М. із клопотанням перевірити на відповідність статті 3, частині другій статті 8, статті 28, статтям 24–63 Конституції України (конституційність) пункт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частини третьої статті 81 Кримінального кодексу України (далі – Кодекс).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Згідно з пунктом 3 частини третьої статті 81 Кодексу умовно-дострокове звільнення від відбування покарання може бути застосоване після фактичного відбуття засудженим ,,не менше трьох чвертей строку покарання, призначеного судом за умисний особливо тяжкий злочин, у разі заміни покарання у виді довічного позбавлення волі 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покарання у виді позбавлення волі на певний строк, а також покарання, призначеного особі, яка раніше звільнялася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умовно-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д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остроково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 знову вчинила умисне кримінальне правопорушення протягом невідбутої частини покарання“.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Іващенко В.М. відбуває покарання у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виді довічного позбавлення волі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Державній установі „Замкова виправна колонія (№ 58)“. Він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звернувся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Ізяславського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районного суду Хме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льницької області з клопотанням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умовно-дострокове звільнення.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Ізяславський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районний суд Хмельницької області ухвалою від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квітня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2025 року, залишеною без змін ухвалою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Хмельницького апеляційного суду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29 квітня 2025 року, відмовив у задоволенні клопотання.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Відмовляючи в задоволенні клопотання, суди виходили 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того, що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Законом України „Про внесення змін до Кодексу України про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адміністративні правопорушення, Кримінального кодексу України 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Кримінального процесуального кодексу України щодо вико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нання рішень Європейського суду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 людини“ від 18 жовтня 2022 року № 2690–ІХ (далі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Закон) було надано можливість умовно-дострокового звіл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ьнення від відбування покарання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визначеним Законом процесуальним алгоритмом із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послідовним застосуванням приписів частини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ятої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82 Кодексу (заміна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покарання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виді довічного позбавлення волі на покарання 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виді позбавлення волі строком від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ятнадцяти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двадцяти років, а після відбуття не менше трьох чвертей цього строку – на умовно-дострокове звільне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ння від відбування покарання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пунктом 3 частини третьої статті 81 Кодексу).</w:t>
      </w:r>
    </w:p>
    <w:p w:rsidR="0094174C" w:rsidRPr="0094174C" w:rsidRDefault="000A69D7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7" w:tgtFrame="_blank" w:tooltip="Кримінальний кодекс України; нормативно-правовий акт № 2341-III від 05.04.2001, ВР України" w:history="1">
        <w:r w:rsidR="0094174C" w:rsidRPr="0094174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Кодекс </w:t>
        </w:r>
      </w:hyperlink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передбачає право засуджених, які відбувають покарання у виді довічного позбавлення волі, на</w:t>
      </w:r>
      <w:r w:rsid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заміну невідбутої частини покарання більш </w:t>
      </w:r>
      <w:proofErr w:type="spellStart"/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яким</w:t>
      </w:r>
      <w:proofErr w:type="spellEnd"/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покаранням та</w:t>
      </w:r>
      <w:r w:rsid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подальшому 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умовно-дострокове звільнення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4174C"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 відбування покарання.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Також суди встановили, що із матеріалів особової справи Іващенка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В.М. убачається, що 15 серпня 2023 року після нормативного врегулювання державою порядку застосування статей </w:t>
      </w:r>
      <w:hyperlink r:id="rId8" w:anchor="384" w:tgtFrame="_blank" w:tooltip="Кримінальний кодекс України; нормативно-правовий акт № 2341-III від 05.04.2001, ВР України" w:history="1">
        <w:r w:rsidRPr="0094174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81</w:t>
        </w:r>
      </w:hyperlink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hyperlink r:id="rId9" w:anchor="912993" w:tgtFrame="_blank" w:tooltip="Кримінальний кодекс України; нормативно-правовий акт № 2341-III від 05.04.2001, ВР України" w:history="1">
        <w:r w:rsidRPr="0094174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82 Кодексу</w:t>
        </w:r>
      </w:hyperlink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Комісія з розгляду питань щодо застосування до засуджених заохочувальних норм Державною установою 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Замкова виправна колонія (№ 58)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“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(далі – Комісія) стосовно Іващенка В.М. вирішувала питання щодо заміни йому покарання у виді довічного позбавлення волі більш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яким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покаранням (Протокол № 16). Іващенку В.М. було відмовлено </w:t>
      </w:r>
      <w:r w:rsidR="00886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заміні покарання у виді довічного позбавлення волі на покарання на певний строк, оскільки він не довів свого виправлення. Рішення Комісії Іващенко В.М. не оскаржував, повторно до Комісії про заміну невідбутої частини покарання більш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яким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покаранням не звертався.</w:t>
      </w:r>
    </w:p>
    <w:p w:rsidR="0094174C" w:rsidRPr="0094174C" w:rsidRDefault="0094174C" w:rsidP="00214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3. Обґрунтовуючи твердження щодо 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неконституційності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оспорюваних приписів Кодексу,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єкт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права на конституційну скаргу зазначає, що 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„&lt;…&gt;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довічно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язнений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має права на умовно-дострокове звільнення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“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що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порушує принцип верховенства права та право на повагу до його гідності.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підтвердження своїх доводів Іващенко В.М. посилається на окремі приписи Конституції України, Кодексу, Закону, рішення Конституційного Суду України, практику Європейського суду з прав людини, а також на судові рішення у його справі.</w:t>
      </w:r>
    </w:p>
    <w:p w:rsidR="0094174C" w:rsidRPr="0094174C" w:rsidRDefault="0094174C" w:rsidP="00214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Вирішуючи питання щодо відкри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ття конституційного провадження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справі, Третя колегія суддів Першого сенату Конституційного Суду України керується таким.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Відповідно до Закону України „Про Конституційний Суд України“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конституційною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ою є подане до Конституційного Суду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України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письмове клопотання щодо перевірки на відповідність Конституції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України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(конституційність) закону України (його окремих приписів), що застосований в остаточному судовому рішенні у справі </w:t>
      </w: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єкта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права на конституційну скаргу (частина перша статті 55);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конституційна скарга має містити обґрунтування тверджень щодо неконституційності закону України (його окремих приписів)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із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зазначенням того, яке з гарантованих Ко</w:t>
      </w:r>
      <w:r w:rsidR="00886E4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нституцією України прав людини,</w:t>
      </w:r>
      <w:r w:rsidR="00886E4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 думку </w:t>
      </w:r>
      <w:proofErr w:type="spellStart"/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суб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ʼ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єкта</w:t>
      </w:r>
      <w:proofErr w:type="spellEnd"/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 статтями 55, 56 цього закону (абзац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перший </w:t>
      </w: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частини першої статті 77).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ʼ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єкт</w:t>
      </w:r>
      <w:proofErr w:type="spellEnd"/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права на конституційну скаргу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просить визнати неконституційним пункт 3 частини третьої статті 81 Кодексу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оскільки, на його думку, цей пункт позбавляє його на умовно-достроково звільнення.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частині першій статті 82 Кодексу передбачена можливість заміни покарання у виді довічного позбавлення волі більш </w:t>
      </w:r>
      <w:proofErr w:type="spellStart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ʼ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яким</w:t>
      </w:r>
      <w:proofErr w:type="spellEnd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покаранням.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Відповідно до частини </w:t>
      </w:r>
      <w:proofErr w:type="spellStart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ʼ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ятої</w:t>
      </w:r>
      <w:proofErr w:type="spellEnd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статті 82 Кодексу покарання у виді довічного позбавлення волі може бути замінене на</w:t>
      </w:r>
      <w:r w:rsidR="00214A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покарання у виді позбавлення волі строком від </w:t>
      </w:r>
      <w:proofErr w:type="spellStart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ʼ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ятнадцяти</w:t>
      </w:r>
      <w:proofErr w:type="spellEnd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двадцяти років, якщо засуджений відбув не менше </w:t>
      </w:r>
      <w:proofErr w:type="spellStart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ʼ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ятнадцяти</w:t>
      </w:r>
      <w:proofErr w:type="spellEnd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років призначеного судом покарання.</w:t>
      </w:r>
      <w:bookmarkStart w:id="0" w:name="n457"/>
      <w:bookmarkEnd w:id="0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Згідно із частиною шостою статті 82 Кодексу до осіб, яким покарання 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виді довічного позбавлення волі замінене більш </w:t>
      </w:r>
      <w:proofErr w:type="spellStart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ʼ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яким</w:t>
      </w:r>
      <w:proofErr w:type="spellEnd"/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може бути застосоване умовно-дострокове звільнення за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правилами, передбаченими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0" w:anchor="n441" w:history="1">
        <w:r w:rsidRPr="0094174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статтею 81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Кодексу.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Із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конституційної скарги випливає, що Іващенко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В.М. висловлює незгоду</w:t>
      </w:r>
      <w:r w:rsidR="00886E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із законодавчим регулюванням порядку</w:t>
      </w:r>
      <w:r w:rsidR="00886E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умовно-дострокового звільнення</w:t>
      </w:r>
      <w:r w:rsidR="00886E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 відбування покарання у виді довічного позбавлення волі 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остаточним судовим рішенням у його справі, що 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можна вважати обґрунтуванням тверджень щодо неконституційності оспорюваних приписів Кодексу.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„Про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України“ – неприйнятність  конституційної скарги.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Ураховуючи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викладене та керуючись статтями 147, 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151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Pr="009417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153 Конституції України, на підставі статей 7, 32, 37, 50, 55, 56, 58, 61, 62, 77, 83, 86 Закону України „Про Конституційний Суд України“, відповідно до § 45, §</w:t>
      </w:r>
      <w:r w:rsidR="00214A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17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94174C" w:rsidRPr="0094174C" w:rsidRDefault="0094174C" w:rsidP="0094174C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:rsidR="0094174C" w:rsidRPr="0094174C" w:rsidRDefault="0094174C" w:rsidP="00214A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х в а л и л а:</w:t>
      </w:r>
    </w:p>
    <w:p w:rsidR="00214AE4" w:rsidRDefault="00214AE4" w:rsidP="00941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4174C" w:rsidRPr="0094174C" w:rsidRDefault="0094174C" w:rsidP="00941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 Відмовити у відкритті конституційного провадження у справі за конституційною скаргою Іващенка Василя Миколайовича щодо відповідності Конституції України (конституційності) пункту 3 частини третьої статті 81 Кримінального кодексу України на підставі пункту 4 статті 62 Закону України „Про Конституційний Суд України“ – неприйнятність конституційної скарги.</w:t>
      </w: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4174C" w:rsidRPr="0094174C" w:rsidRDefault="0094174C" w:rsidP="0094174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94174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 Ухвала є остаточною.</w:t>
      </w:r>
    </w:p>
    <w:p w:rsidR="00940404" w:rsidRPr="0094174C" w:rsidRDefault="00940404" w:rsidP="00B857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B8577B" w:rsidRPr="0094174C" w:rsidRDefault="00B8577B" w:rsidP="00B857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B8577B" w:rsidRDefault="00B8577B" w:rsidP="00B857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A69D7" w:rsidRPr="000A69D7" w:rsidRDefault="000A69D7" w:rsidP="000A69D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</w:pPr>
      <w:bookmarkStart w:id="1" w:name="_GoBack"/>
      <w:r w:rsidRPr="000A69D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Третя колегія суддів</w:t>
      </w:r>
    </w:p>
    <w:p w:rsidR="000A69D7" w:rsidRPr="000A69D7" w:rsidRDefault="000A69D7" w:rsidP="000A69D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</w:pPr>
      <w:r w:rsidRPr="000A69D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Першого сена</w:t>
      </w:r>
      <w:r w:rsidRPr="000A69D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ту</w:t>
      </w:r>
    </w:p>
    <w:p w:rsidR="001F7B41" w:rsidRPr="000A69D7" w:rsidRDefault="000A69D7" w:rsidP="000A69D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  <w:sz w:val="28"/>
          <w:szCs w:val="28"/>
        </w:rPr>
      </w:pPr>
      <w:r w:rsidRPr="000A69D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Конституційного Суду України</w:t>
      </w:r>
      <w:bookmarkEnd w:id="1"/>
    </w:p>
    <w:sectPr w:rsidR="001F7B41" w:rsidRPr="000A69D7" w:rsidSect="00B8577B"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CE" w:rsidRDefault="00A749CE" w:rsidP="00D30EFD">
      <w:pPr>
        <w:spacing w:after="0" w:line="240" w:lineRule="auto"/>
      </w:pPr>
      <w:r>
        <w:separator/>
      </w:r>
    </w:p>
  </w:endnote>
  <w:endnote w:type="continuationSeparator" w:id="0">
    <w:p w:rsidR="00A749CE" w:rsidRDefault="00A749CE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7B" w:rsidRPr="00B8577B" w:rsidRDefault="00B8577B">
    <w:pPr>
      <w:pStyle w:val="a9"/>
      <w:rPr>
        <w:rFonts w:ascii="Times New Roman" w:hAnsi="Times New Roman" w:cs="Times New Roman"/>
        <w:sz w:val="10"/>
        <w:szCs w:val="10"/>
      </w:rPr>
    </w:pPr>
    <w:r w:rsidRPr="00B8577B">
      <w:rPr>
        <w:rFonts w:ascii="Times New Roman" w:hAnsi="Times New Roman" w:cs="Times New Roman"/>
        <w:sz w:val="10"/>
        <w:szCs w:val="10"/>
      </w:rPr>
      <w:fldChar w:fldCharType="begin"/>
    </w:r>
    <w:r w:rsidRPr="00B857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8577B">
      <w:rPr>
        <w:rFonts w:ascii="Times New Roman" w:hAnsi="Times New Roman" w:cs="Times New Roman"/>
        <w:sz w:val="10"/>
        <w:szCs w:val="10"/>
      </w:rPr>
      <w:fldChar w:fldCharType="separate"/>
    </w:r>
    <w:r w:rsidR="000A69D7">
      <w:rPr>
        <w:rFonts w:ascii="Times New Roman" w:hAnsi="Times New Roman" w:cs="Times New Roman"/>
        <w:noProof/>
        <w:sz w:val="10"/>
        <w:szCs w:val="10"/>
      </w:rPr>
      <w:t>G:\2025\Suddi\I senat\III koleg\4.docx</w:t>
    </w:r>
    <w:r w:rsidRPr="00B857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7B" w:rsidRPr="00B8577B" w:rsidRDefault="00B8577B">
    <w:pPr>
      <w:pStyle w:val="a9"/>
      <w:rPr>
        <w:rFonts w:ascii="Times New Roman" w:hAnsi="Times New Roman" w:cs="Times New Roman"/>
        <w:sz w:val="10"/>
        <w:szCs w:val="10"/>
      </w:rPr>
    </w:pPr>
    <w:r w:rsidRPr="00B8577B">
      <w:rPr>
        <w:rFonts w:ascii="Times New Roman" w:hAnsi="Times New Roman" w:cs="Times New Roman"/>
        <w:sz w:val="10"/>
        <w:szCs w:val="10"/>
      </w:rPr>
      <w:fldChar w:fldCharType="begin"/>
    </w:r>
    <w:r w:rsidRPr="00B857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8577B">
      <w:rPr>
        <w:rFonts w:ascii="Times New Roman" w:hAnsi="Times New Roman" w:cs="Times New Roman"/>
        <w:sz w:val="10"/>
        <w:szCs w:val="10"/>
      </w:rPr>
      <w:fldChar w:fldCharType="separate"/>
    </w:r>
    <w:r w:rsidR="000A69D7">
      <w:rPr>
        <w:rFonts w:ascii="Times New Roman" w:hAnsi="Times New Roman" w:cs="Times New Roman"/>
        <w:noProof/>
        <w:sz w:val="10"/>
        <w:szCs w:val="10"/>
      </w:rPr>
      <w:t>G:\2025\Suddi\I senat\III koleg\4.docx</w:t>
    </w:r>
    <w:r w:rsidRPr="00B857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CE" w:rsidRDefault="00A749CE" w:rsidP="00D30EFD">
      <w:pPr>
        <w:spacing w:after="0" w:line="240" w:lineRule="auto"/>
      </w:pPr>
      <w:r>
        <w:separator/>
      </w:r>
    </w:p>
  </w:footnote>
  <w:footnote w:type="continuationSeparator" w:id="0">
    <w:p w:rsidR="00A749CE" w:rsidRDefault="00A749CE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382756419"/>
      <w:docPartObj>
        <w:docPartGallery w:val="Page Numbers (Top of Page)"/>
        <w:docPartUnique/>
      </w:docPartObj>
    </w:sdtPr>
    <w:sdtEndPr/>
    <w:sdtContent>
      <w:p w:rsidR="007D031D" w:rsidRPr="00B8577B" w:rsidRDefault="007D031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57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57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57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69D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857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0668A"/>
    <w:rsid w:val="0000709A"/>
    <w:rsid w:val="0001369F"/>
    <w:rsid w:val="00026E12"/>
    <w:rsid w:val="00033F5E"/>
    <w:rsid w:val="00042A4B"/>
    <w:rsid w:val="000471A4"/>
    <w:rsid w:val="0006094F"/>
    <w:rsid w:val="0006104C"/>
    <w:rsid w:val="0007363F"/>
    <w:rsid w:val="000779CE"/>
    <w:rsid w:val="00080513"/>
    <w:rsid w:val="00083375"/>
    <w:rsid w:val="0009164D"/>
    <w:rsid w:val="00097E6C"/>
    <w:rsid w:val="000A69D7"/>
    <w:rsid w:val="000C3A45"/>
    <w:rsid w:val="000C55A9"/>
    <w:rsid w:val="000C7570"/>
    <w:rsid w:val="000C7999"/>
    <w:rsid w:val="000E15C2"/>
    <w:rsid w:val="000E2E51"/>
    <w:rsid w:val="00100C5A"/>
    <w:rsid w:val="00105967"/>
    <w:rsid w:val="001142BC"/>
    <w:rsid w:val="00134B42"/>
    <w:rsid w:val="001358E4"/>
    <w:rsid w:val="0014713B"/>
    <w:rsid w:val="00150448"/>
    <w:rsid w:val="00153308"/>
    <w:rsid w:val="00162008"/>
    <w:rsid w:val="001703E8"/>
    <w:rsid w:val="001731E7"/>
    <w:rsid w:val="00174768"/>
    <w:rsid w:val="0018140D"/>
    <w:rsid w:val="00182E30"/>
    <w:rsid w:val="0018527C"/>
    <w:rsid w:val="00185FD2"/>
    <w:rsid w:val="0019649B"/>
    <w:rsid w:val="001A4529"/>
    <w:rsid w:val="001B5362"/>
    <w:rsid w:val="001C36A8"/>
    <w:rsid w:val="001E12CB"/>
    <w:rsid w:val="001E2B14"/>
    <w:rsid w:val="001F4434"/>
    <w:rsid w:val="001F7B41"/>
    <w:rsid w:val="0020121D"/>
    <w:rsid w:val="00205234"/>
    <w:rsid w:val="00205310"/>
    <w:rsid w:val="00206BA1"/>
    <w:rsid w:val="00214AE4"/>
    <w:rsid w:val="00222D4A"/>
    <w:rsid w:val="00223AD9"/>
    <w:rsid w:val="002262E4"/>
    <w:rsid w:val="002528D0"/>
    <w:rsid w:val="00261ED7"/>
    <w:rsid w:val="002623CF"/>
    <w:rsid w:val="00276D10"/>
    <w:rsid w:val="00292A57"/>
    <w:rsid w:val="002A58B3"/>
    <w:rsid w:val="002B059C"/>
    <w:rsid w:val="002C0417"/>
    <w:rsid w:val="002C6BFA"/>
    <w:rsid w:val="002D70DD"/>
    <w:rsid w:val="002E1483"/>
    <w:rsid w:val="002E1687"/>
    <w:rsid w:val="002E1FFD"/>
    <w:rsid w:val="002E5FFE"/>
    <w:rsid w:val="002F3E2A"/>
    <w:rsid w:val="002F53D1"/>
    <w:rsid w:val="00306CB5"/>
    <w:rsid w:val="00317039"/>
    <w:rsid w:val="0031734C"/>
    <w:rsid w:val="00337424"/>
    <w:rsid w:val="003430A7"/>
    <w:rsid w:val="00343787"/>
    <w:rsid w:val="0035230C"/>
    <w:rsid w:val="00354F06"/>
    <w:rsid w:val="00361DB5"/>
    <w:rsid w:val="00367558"/>
    <w:rsid w:val="00371327"/>
    <w:rsid w:val="00377DE8"/>
    <w:rsid w:val="003842E4"/>
    <w:rsid w:val="0039028B"/>
    <w:rsid w:val="00392C9D"/>
    <w:rsid w:val="003A3478"/>
    <w:rsid w:val="003B46E2"/>
    <w:rsid w:val="003E0EE6"/>
    <w:rsid w:val="003E4CF1"/>
    <w:rsid w:val="003F03AC"/>
    <w:rsid w:val="003F04D0"/>
    <w:rsid w:val="003F1271"/>
    <w:rsid w:val="00402AC1"/>
    <w:rsid w:val="00407BB7"/>
    <w:rsid w:val="00422234"/>
    <w:rsid w:val="004320A9"/>
    <w:rsid w:val="0044179A"/>
    <w:rsid w:val="00443EC0"/>
    <w:rsid w:val="00444D4C"/>
    <w:rsid w:val="00461A2A"/>
    <w:rsid w:val="0046600A"/>
    <w:rsid w:val="00481C32"/>
    <w:rsid w:val="00482E76"/>
    <w:rsid w:val="00490C53"/>
    <w:rsid w:val="00496352"/>
    <w:rsid w:val="004B0C48"/>
    <w:rsid w:val="004B26D0"/>
    <w:rsid w:val="004C38C7"/>
    <w:rsid w:val="004C555E"/>
    <w:rsid w:val="004D1098"/>
    <w:rsid w:val="004D787B"/>
    <w:rsid w:val="004F286D"/>
    <w:rsid w:val="00502B73"/>
    <w:rsid w:val="005142BA"/>
    <w:rsid w:val="005147FC"/>
    <w:rsid w:val="00514983"/>
    <w:rsid w:val="005218F6"/>
    <w:rsid w:val="00521C71"/>
    <w:rsid w:val="0052339D"/>
    <w:rsid w:val="00531AF3"/>
    <w:rsid w:val="005463D8"/>
    <w:rsid w:val="005568FF"/>
    <w:rsid w:val="00563860"/>
    <w:rsid w:val="00563F0F"/>
    <w:rsid w:val="00574BF7"/>
    <w:rsid w:val="00575EA2"/>
    <w:rsid w:val="00594949"/>
    <w:rsid w:val="005A1CED"/>
    <w:rsid w:val="005C2C72"/>
    <w:rsid w:val="005D17B5"/>
    <w:rsid w:val="005D1D5F"/>
    <w:rsid w:val="005D65A8"/>
    <w:rsid w:val="00606CB6"/>
    <w:rsid w:val="00615AC1"/>
    <w:rsid w:val="00622E95"/>
    <w:rsid w:val="0066783C"/>
    <w:rsid w:val="00672C78"/>
    <w:rsid w:val="006765CF"/>
    <w:rsid w:val="0067748E"/>
    <w:rsid w:val="00695A8C"/>
    <w:rsid w:val="006A0BE0"/>
    <w:rsid w:val="006A40E6"/>
    <w:rsid w:val="006B22E4"/>
    <w:rsid w:val="006B50C6"/>
    <w:rsid w:val="006C2F5E"/>
    <w:rsid w:val="006D15A7"/>
    <w:rsid w:val="006E16AE"/>
    <w:rsid w:val="006E4C6C"/>
    <w:rsid w:val="006E7E00"/>
    <w:rsid w:val="006F24B8"/>
    <w:rsid w:val="007034B4"/>
    <w:rsid w:val="00703970"/>
    <w:rsid w:val="00707614"/>
    <w:rsid w:val="00723994"/>
    <w:rsid w:val="007239D5"/>
    <w:rsid w:val="00723EE9"/>
    <w:rsid w:val="007301BF"/>
    <w:rsid w:val="00736712"/>
    <w:rsid w:val="00757E2A"/>
    <w:rsid w:val="00762B9B"/>
    <w:rsid w:val="007849EF"/>
    <w:rsid w:val="00793CD5"/>
    <w:rsid w:val="00796855"/>
    <w:rsid w:val="007A3CDE"/>
    <w:rsid w:val="007B2886"/>
    <w:rsid w:val="007B6B8B"/>
    <w:rsid w:val="007C4B8E"/>
    <w:rsid w:val="007D031D"/>
    <w:rsid w:val="007D2EAE"/>
    <w:rsid w:val="007D40F9"/>
    <w:rsid w:val="007E0544"/>
    <w:rsid w:val="007E066C"/>
    <w:rsid w:val="007E582F"/>
    <w:rsid w:val="007E66A0"/>
    <w:rsid w:val="007F4421"/>
    <w:rsid w:val="00820AAA"/>
    <w:rsid w:val="00826A6C"/>
    <w:rsid w:val="00827A75"/>
    <w:rsid w:val="0083076D"/>
    <w:rsid w:val="00832295"/>
    <w:rsid w:val="00843F23"/>
    <w:rsid w:val="008519EF"/>
    <w:rsid w:val="0086045F"/>
    <w:rsid w:val="00881155"/>
    <w:rsid w:val="0088314B"/>
    <w:rsid w:val="0088518B"/>
    <w:rsid w:val="00886E41"/>
    <w:rsid w:val="00887019"/>
    <w:rsid w:val="00894F77"/>
    <w:rsid w:val="008A0C2B"/>
    <w:rsid w:val="008C2F88"/>
    <w:rsid w:val="008C675B"/>
    <w:rsid w:val="008D4C6F"/>
    <w:rsid w:val="008D56B5"/>
    <w:rsid w:val="008E1064"/>
    <w:rsid w:val="008E2CCC"/>
    <w:rsid w:val="008F2B49"/>
    <w:rsid w:val="008F5182"/>
    <w:rsid w:val="0090125B"/>
    <w:rsid w:val="00904EF0"/>
    <w:rsid w:val="00906B3A"/>
    <w:rsid w:val="00911461"/>
    <w:rsid w:val="0091520F"/>
    <w:rsid w:val="00935B35"/>
    <w:rsid w:val="00937DA3"/>
    <w:rsid w:val="00940404"/>
    <w:rsid w:val="00940AE8"/>
    <w:rsid w:val="0094174C"/>
    <w:rsid w:val="00961554"/>
    <w:rsid w:val="00974D60"/>
    <w:rsid w:val="009B276E"/>
    <w:rsid w:val="009B6DDB"/>
    <w:rsid w:val="009C53AC"/>
    <w:rsid w:val="009E155C"/>
    <w:rsid w:val="009F2F2C"/>
    <w:rsid w:val="009F509D"/>
    <w:rsid w:val="00A03DF7"/>
    <w:rsid w:val="00A14E29"/>
    <w:rsid w:val="00A16520"/>
    <w:rsid w:val="00A25A68"/>
    <w:rsid w:val="00A3336E"/>
    <w:rsid w:val="00A36840"/>
    <w:rsid w:val="00A44B79"/>
    <w:rsid w:val="00A46669"/>
    <w:rsid w:val="00A714D4"/>
    <w:rsid w:val="00A71F0F"/>
    <w:rsid w:val="00A749CE"/>
    <w:rsid w:val="00A81A4E"/>
    <w:rsid w:val="00A90BCE"/>
    <w:rsid w:val="00A935A4"/>
    <w:rsid w:val="00A97F4A"/>
    <w:rsid w:val="00AC0034"/>
    <w:rsid w:val="00AC38EB"/>
    <w:rsid w:val="00AD0187"/>
    <w:rsid w:val="00AD6739"/>
    <w:rsid w:val="00AF53C1"/>
    <w:rsid w:val="00AF6440"/>
    <w:rsid w:val="00B01E57"/>
    <w:rsid w:val="00B046D5"/>
    <w:rsid w:val="00B11DF7"/>
    <w:rsid w:val="00B12564"/>
    <w:rsid w:val="00B14B9A"/>
    <w:rsid w:val="00B15C9F"/>
    <w:rsid w:val="00B16324"/>
    <w:rsid w:val="00B21048"/>
    <w:rsid w:val="00B23FD0"/>
    <w:rsid w:val="00B34F4F"/>
    <w:rsid w:val="00B53CB5"/>
    <w:rsid w:val="00B664D3"/>
    <w:rsid w:val="00B679CF"/>
    <w:rsid w:val="00B71CEC"/>
    <w:rsid w:val="00B731D0"/>
    <w:rsid w:val="00B8577B"/>
    <w:rsid w:val="00B85A12"/>
    <w:rsid w:val="00B86704"/>
    <w:rsid w:val="00BA2C99"/>
    <w:rsid w:val="00BB2AC6"/>
    <w:rsid w:val="00BB6A38"/>
    <w:rsid w:val="00BB79CF"/>
    <w:rsid w:val="00BC3665"/>
    <w:rsid w:val="00BD755D"/>
    <w:rsid w:val="00BD7CB6"/>
    <w:rsid w:val="00BE0EC4"/>
    <w:rsid w:val="00BE5A82"/>
    <w:rsid w:val="00BF2E5C"/>
    <w:rsid w:val="00BF3B53"/>
    <w:rsid w:val="00BF5625"/>
    <w:rsid w:val="00BF6ADD"/>
    <w:rsid w:val="00C01E13"/>
    <w:rsid w:val="00C04847"/>
    <w:rsid w:val="00C22FBE"/>
    <w:rsid w:val="00C23AC3"/>
    <w:rsid w:val="00C419AB"/>
    <w:rsid w:val="00C4348B"/>
    <w:rsid w:val="00C43806"/>
    <w:rsid w:val="00C446F4"/>
    <w:rsid w:val="00C45EA5"/>
    <w:rsid w:val="00C50314"/>
    <w:rsid w:val="00C50B1A"/>
    <w:rsid w:val="00C84A80"/>
    <w:rsid w:val="00C945F6"/>
    <w:rsid w:val="00CA267A"/>
    <w:rsid w:val="00CA306C"/>
    <w:rsid w:val="00CB5871"/>
    <w:rsid w:val="00CB733D"/>
    <w:rsid w:val="00CB7878"/>
    <w:rsid w:val="00CC10FD"/>
    <w:rsid w:val="00CC3281"/>
    <w:rsid w:val="00CC40F5"/>
    <w:rsid w:val="00CC4130"/>
    <w:rsid w:val="00CD3E32"/>
    <w:rsid w:val="00CD580F"/>
    <w:rsid w:val="00CE0A40"/>
    <w:rsid w:val="00CE4D10"/>
    <w:rsid w:val="00CF3FF0"/>
    <w:rsid w:val="00CF6F55"/>
    <w:rsid w:val="00D04975"/>
    <w:rsid w:val="00D14517"/>
    <w:rsid w:val="00D155D3"/>
    <w:rsid w:val="00D17AE7"/>
    <w:rsid w:val="00D206EF"/>
    <w:rsid w:val="00D21E72"/>
    <w:rsid w:val="00D22634"/>
    <w:rsid w:val="00D30EFD"/>
    <w:rsid w:val="00D36D92"/>
    <w:rsid w:val="00D37F98"/>
    <w:rsid w:val="00D464DE"/>
    <w:rsid w:val="00D46880"/>
    <w:rsid w:val="00D54D9A"/>
    <w:rsid w:val="00D5559E"/>
    <w:rsid w:val="00D64FA9"/>
    <w:rsid w:val="00D66353"/>
    <w:rsid w:val="00D67826"/>
    <w:rsid w:val="00D70AD9"/>
    <w:rsid w:val="00D85B8B"/>
    <w:rsid w:val="00D955FB"/>
    <w:rsid w:val="00D95A09"/>
    <w:rsid w:val="00D9704D"/>
    <w:rsid w:val="00DA1C3F"/>
    <w:rsid w:val="00DB18AE"/>
    <w:rsid w:val="00DC36C9"/>
    <w:rsid w:val="00DC6FFA"/>
    <w:rsid w:val="00DD4FFB"/>
    <w:rsid w:val="00DD5C23"/>
    <w:rsid w:val="00DE700E"/>
    <w:rsid w:val="00E00B25"/>
    <w:rsid w:val="00E20934"/>
    <w:rsid w:val="00E209FF"/>
    <w:rsid w:val="00E2337D"/>
    <w:rsid w:val="00E2507E"/>
    <w:rsid w:val="00E36547"/>
    <w:rsid w:val="00E4416B"/>
    <w:rsid w:val="00E63729"/>
    <w:rsid w:val="00E70090"/>
    <w:rsid w:val="00E7332E"/>
    <w:rsid w:val="00E741FF"/>
    <w:rsid w:val="00E74661"/>
    <w:rsid w:val="00E84625"/>
    <w:rsid w:val="00E916B2"/>
    <w:rsid w:val="00EA04B2"/>
    <w:rsid w:val="00EA6059"/>
    <w:rsid w:val="00EC4C43"/>
    <w:rsid w:val="00ED00A9"/>
    <w:rsid w:val="00ED4422"/>
    <w:rsid w:val="00F03059"/>
    <w:rsid w:val="00F05371"/>
    <w:rsid w:val="00F06B4C"/>
    <w:rsid w:val="00F1122C"/>
    <w:rsid w:val="00F114F9"/>
    <w:rsid w:val="00F13B27"/>
    <w:rsid w:val="00F2038C"/>
    <w:rsid w:val="00F24D09"/>
    <w:rsid w:val="00F41555"/>
    <w:rsid w:val="00F4374A"/>
    <w:rsid w:val="00F4432D"/>
    <w:rsid w:val="00F52448"/>
    <w:rsid w:val="00F53F9E"/>
    <w:rsid w:val="00F54F84"/>
    <w:rsid w:val="00F605F6"/>
    <w:rsid w:val="00F64488"/>
    <w:rsid w:val="00F675D3"/>
    <w:rsid w:val="00F7281E"/>
    <w:rsid w:val="00F8182B"/>
    <w:rsid w:val="00F83B12"/>
    <w:rsid w:val="00F84225"/>
    <w:rsid w:val="00FA3AE8"/>
    <w:rsid w:val="00FB085F"/>
    <w:rsid w:val="00FB2419"/>
    <w:rsid w:val="00FB4359"/>
    <w:rsid w:val="00FB7FF6"/>
    <w:rsid w:val="00FC05D4"/>
    <w:rsid w:val="00FC2618"/>
    <w:rsid w:val="00FC609A"/>
    <w:rsid w:val="00FC746A"/>
    <w:rsid w:val="00FD45E1"/>
    <w:rsid w:val="00FD609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36EFC0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8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85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paragraph" w:styleId="ab">
    <w:name w:val="List Paragraph"/>
    <w:basedOn w:val="a"/>
    <w:uiPriority w:val="34"/>
    <w:qFormat/>
    <w:rsid w:val="00703970"/>
    <w:pPr>
      <w:ind w:left="720"/>
      <w:contextualSpacing/>
    </w:pPr>
  </w:style>
  <w:style w:type="character" w:customStyle="1" w:styleId="rvts20">
    <w:name w:val="rvts20"/>
    <w:basedOn w:val="a0"/>
    <w:rsid w:val="007E0544"/>
  </w:style>
  <w:style w:type="character" w:customStyle="1" w:styleId="rvts11">
    <w:name w:val="rvts11"/>
    <w:basedOn w:val="a0"/>
    <w:rsid w:val="007E0544"/>
  </w:style>
  <w:style w:type="character" w:customStyle="1" w:styleId="rvts21">
    <w:name w:val="rvts21"/>
    <w:basedOn w:val="a0"/>
    <w:rsid w:val="007E0544"/>
  </w:style>
  <w:style w:type="paragraph" w:customStyle="1" w:styleId="rvps5">
    <w:name w:val="rvps5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7E0544"/>
  </w:style>
  <w:style w:type="paragraph" w:customStyle="1" w:styleId="rvps6">
    <w:name w:val="rvps6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02A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Placeholder Text"/>
    <w:basedOn w:val="a0"/>
    <w:uiPriority w:val="99"/>
    <w:semiHidden/>
    <w:rsid w:val="009F509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85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d">
    <w:name w:val="Table Grid"/>
    <w:basedOn w:val="a1"/>
    <w:uiPriority w:val="39"/>
    <w:rsid w:val="001F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384/ed_2025_01_09/pravo1/T012341.html?pravo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25_01_09/pravo1/T012341.html?pravo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34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912993/ed_2025_01_09/pravo1/T012341.html?prav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58C9-9DE4-457B-AE2E-D3519617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5450</Words>
  <Characters>3107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Валентина М. Поліщук</cp:lastModifiedBy>
  <cp:revision>8</cp:revision>
  <cp:lastPrinted>2025-07-07T08:20:00Z</cp:lastPrinted>
  <dcterms:created xsi:type="dcterms:W3CDTF">2025-07-03T09:50:00Z</dcterms:created>
  <dcterms:modified xsi:type="dcterms:W3CDTF">2025-07-07T08:20:00Z</dcterms:modified>
</cp:coreProperties>
</file>