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05" w:rsidRDefault="0047620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76205" w:rsidRDefault="0047620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76205" w:rsidRDefault="0047620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76205" w:rsidRDefault="0047620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76205" w:rsidRDefault="0047620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76205" w:rsidRDefault="0047620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76205" w:rsidRDefault="0047620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76205" w:rsidRDefault="0047620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76205" w:rsidRDefault="0047620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76205" w:rsidRDefault="00476205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rFonts w:cs="Times New Roman"/>
          <w:b/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rFonts w:cs="Times New Roman"/>
          <w:b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rFonts w:cs="Times New Roman"/>
          <w:b/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rFonts w:cs="Times New Roman"/>
          <w:b/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rFonts w:cs="Times New Roman"/>
          <w:b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rFonts w:cs="Times New Roman"/>
          <w:b/>
          <w:sz w:val="28"/>
          <w:szCs w:val="28"/>
          <w:lang w:val="uk-UA"/>
        </w:rPr>
        <w:t xml:space="preserve">“, абзацу четвертого пункту 1, пункту 9 статті 12 Закону України „Про соціальний і правовий захист </w:t>
      </w:r>
      <w:r w:rsidR="00476205">
        <w:rPr>
          <w:rFonts w:cs="Times New Roman"/>
          <w:b/>
          <w:sz w:val="28"/>
          <w:szCs w:val="28"/>
          <w:lang w:val="uk-UA"/>
        </w:rPr>
        <w:br/>
      </w:r>
      <w:r w:rsidR="00476205">
        <w:rPr>
          <w:rFonts w:cs="Times New Roman"/>
          <w:b/>
          <w:sz w:val="28"/>
          <w:szCs w:val="28"/>
          <w:lang w:val="uk-UA"/>
        </w:rPr>
        <w:tab/>
        <w:t xml:space="preserve">         </w:t>
      </w:r>
      <w:r w:rsidR="00F25BD3" w:rsidRPr="00F25BD3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60168D" w:rsidRDefault="0060168D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476205" w:rsidRDefault="00476205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F25BD3">
        <w:rPr>
          <w:rFonts w:cs="Times New Roman"/>
          <w:sz w:val="28"/>
          <w:szCs w:val="28"/>
          <w:lang w:val="uk-UA"/>
        </w:rPr>
        <w:t>215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F25BD3">
        <w:rPr>
          <w:rFonts w:cs="Times New Roman"/>
          <w:sz w:val="28"/>
          <w:szCs w:val="28"/>
          <w:lang w:val="uk-UA"/>
        </w:rPr>
        <w:t>444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C37AC9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D77BCB">
        <w:rPr>
          <w:rFonts w:cs="Times New Roman"/>
          <w:sz w:val="28"/>
          <w:szCs w:val="28"/>
          <w:lang w:val="uk-UA"/>
        </w:rPr>
        <w:t>січн</w:t>
      </w:r>
      <w:r w:rsidR="00F7522D">
        <w:rPr>
          <w:rFonts w:cs="Times New Roman"/>
          <w:sz w:val="28"/>
          <w:szCs w:val="28"/>
          <w:lang w:val="uk-UA"/>
        </w:rPr>
        <w:t>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D77BCB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C37AC9">
        <w:rPr>
          <w:rFonts w:cs="Times New Roman"/>
          <w:sz w:val="28"/>
          <w:szCs w:val="28"/>
          <w:lang w:val="uk-UA"/>
        </w:rPr>
        <w:t>36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D77BCB">
        <w:rPr>
          <w:rFonts w:cs="Times New Roman"/>
          <w:sz w:val="28"/>
          <w:szCs w:val="28"/>
          <w:lang w:val="uk-UA"/>
        </w:rPr>
        <w:t>2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476205" w:rsidRPr="00083F72" w:rsidRDefault="00476205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C37AC9" w:rsidRDefault="00C37AC9" w:rsidP="00C37AC9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37AC9" w:rsidRDefault="00C37AC9" w:rsidP="00C37AC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37AC9" w:rsidRDefault="00C37AC9" w:rsidP="00C37AC9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Кривенко Віктор Васильович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C37AC9" w:rsidRDefault="00C37AC9" w:rsidP="00C37AC9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C37AC9" w:rsidRDefault="00C37AC9" w:rsidP="00476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Юровська Галина Валентинівна, </w:t>
      </w:r>
    </w:p>
    <w:p w:rsidR="00AD18EA" w:rsidRPr="00083F72" w:rsidRDefault="00AD18EA" w:rsidP="00F25B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rFonts w:ascii="Times New Roman" w:hAnsi="Times New Roman" w:cs="Times New Roman"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2B4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083F72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083F72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083F7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083F72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B4BD2" w:rsidRDefault="002B4BD2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B4BD2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>У</w:t>
      </w:r>
      <w:r w:rsidRPr="002B4BD2">
        <w:rPr>
          <w:rFonts w:cs="Times New Roman"/>
          <w:sz w:val="28"/>
          <w:szCs w:val="28"/>
          <w:lang w:val="uk-UA"/>
        </w:rPr>
        <w:t>хвал</w:t>
      </w:r>
      <w:r>
        <w:rPr>
          <w:rFonts w:cs="Times New Roman"/>
          <w:sz w:val="28"/>
          <w:szCs w:val="28"/>
          <w:lang w:val="uk-UA"/>
        </w:rPr>
        <w:t>ою</w:t>
      </w:r>
      <w:r w:rsidRPr="002B4BD2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21</w:t>
      </w:r>
      <w:r w:rsidRPr="002B4BD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грудня</w:t>
      </w:r>
      <w:r w:rsidR="00476205">
        <w:rPr>
          <w:rFonts w:cs="Times New Roman"/>
          <w:sz w:val="28"/>
          <w:szCs w:val="28"/>
          <w:lang w:val="uk-UA"/>
        </w:rPr>
        <w:br/>
      </w:r>
      <w:r w:rsidRPr="002B4BD2">
        <w:rPr>
          <w:rFonts w:cs="Times New Roman"/>
          <w:sz w:val="28"/>
          <w:szCs w:val="28"/>
          <w:lang w:val="uk-UA"/>
        </w:rPr>
        <w:t>202</w:t>
      </w:r>
      <w:r>
        <w:rPr>
          <w:rFonts w:cs="Times New Roman"/>
          <w:sz w:val="28"/>
          <w:szCs w:val="28"/>
          <w:lang w:val="uk-UA"/>
        </w:rPr>
        <w:t>1 року № 348</w:t>
      </w:r>
      <w:r w:rsidRPr="002B4BD2">
        <w:rPr>
          <w:rFonts w:cs="Times New Roman"/>
          <w:sz w:val="28"/>
          <w:szCs w:val="28"/>
          <w:lang w:val="uk-UA"/>
        </w:rPr>
        <w:t>-у/2021 подовжила до 2</w:t>
      </w:r>
      <w:r>
        <w:rPr>
          <w:rFonts w:cs="Times New Roman"/>
          <w:sz w:val="28"/>
          <w:szCs w:val="28"/>
          <w:lang w:val="uk-UA"/>
        </w:rPr>
        <w:t>0</w:t>
      </w:r>
      <w:r w:rsidRPr="002B4BD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січн</w:t>
      </w:r>
      <w:r w:rsidRPr="002B4BD2">
        <w:rPr>
          <w:rFonts w:cs="Times New Roman"/>
          <w:sz w:val="28"/>
          <w:szCs w:val="28"/>
          <w:lang w:val="uk-UA"/>
        </w:rPr>
        <w:t>я 202</w:t>
      </w:r>
      <w:r>
        <w:rPr>
          <w:rFonts w:cs="Times New Roman"/>
          <w:sz w:val="28"/>
          <w:szCs w:val="28"/>
          <w:lang w:val="uk-UA"/>
        </w:rPr>
        <w:t>2</w:t>
      </w:r>
      <w:r w:rsidRPr="002B4BD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2B4BD2">
        <w:rPr>
          <w:rFonts w:cs="Times New Roman"/>
          <w:sz w:val="28"/>
          <w:szCs w:val="28"/>
          <w:lang w:val="uk-UA"/>
        </w:rPr>
        <w:t>Каламбета</w:t>
      </w:r>
      <w:proofErr w:type="spellEnd"/>
      <w:r w:rsidRPr="002B4BD2">
        <w:rPr>
          <w:rFonts w:cs="Times New Roman"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Pr="002B4BD2">
        <w:rPr>
          <w:rFonts w:cs="Times New Roman"/>
          <w:sz w:val="28"/>
          <w:szCs w:val="28"/>
          <w:vertAlign w:val="superscript"/>
          <w:lang w:val="uk-UA"/>
        </w:rPr>
        <w:t xml:space="preserve">1 </w:t>
      </w:r>
      <w:r w:rsidRPr="002B4BD2">
        <w:rPr>
          <w:rFonts w:cs="Times New Roman"/>
          <w:sz w:val="28"/>
          <w:szCs w:val="28"/>
          <w:lang w:val="uk-UA"/>
        </w:rPr>
        <w:t xml:space="preserve">Закону </w:t>
      </w:r>
      <w:r w:rsidRPr="002B4BD2">
        <w:rPr>
          <w:rFonts w:cs="Times New Roman"/>
          <w:sz w:val="28"/>
          <w:szCs w:val="28"/>
          <w:lang w:val="uk-UA"/>
        </w:rPr>
        <w:lastRenderedPageBreak/>
        <w:t xml:space="preserve">України „Про </w:t>
      </w:r>
      <w:r w:rsidRPr="002B4BD2">
        <w:rPr>
          <w:rFonts w:cs="Times New Roman"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Pr="002B4BD2">
        <w:rPr>
          <w:rFonts w:cs="Times New Roman"/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083F7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60168D" w:rsidRPr="0060168D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7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25BD3">
        <w:rPr>
          <w:rFonts w:eastAsia="Times New Roman" w:cs="Times New Roman"/>
          <w:sz w:val="28"/>
          <w:szCs w:val="28"/>
          <w:lang w:val="uk-UA"/>
        </w:rPr>
        <w:t>груд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C37AC9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083F72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083F72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083F72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083F7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C37AC9">
        <w:rPr>
          <w:rFonts w:cs="Times New Roman"/>
          <w:sz w:val="28"/>
          <w:szCs w:val="28"/>
          <w:lang w:val="uk-UA"/>
        </w:rPr>
        <w:t>18 лютого</w:t>
      </w:r>
      <w:r w:rsidR="00865555">
        <w:rPr>
          <w:rFonts w:cs="Times New Roman"/>
          <w:sz w:val="28"/>
          <w:szCs w:val="28"/>
          <w:lang w:val="uk-UA"/>
        </w:rPr>
        <w:t xml:space="preserve">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sz w:val="28"/>
          <w:szCs w:val="28"/>
          <w:lang w:val="uk-UA"/>
        </w:rPr>
        <w:t xml:space="preserve">Закону </w:t>
      </w:r>
      <w:r w:rsidR="00F25BD3" w:rsidRPr="00F25BD3">
        <w:rPr>
          <w:sz w:val="28"/>
          <w:szCs w:val="28"/>
          <w:lang w:val="uk-UA"/>
        </w:rPr>
        <w:lastRenderedPageBreak/>
        <w:t xml:space="preserve">України „Про </w:t>
      </w:r>
      <w:r w:rsidR="00F25BD3" w:rsidRPr="00F25BD3">
        <w:rPr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76205" w:rsidRDefault="00476205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76205" w:rsidRDefault="00476205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FD7282" w:rsidRPr="00E928C9" w:rsidRDefault="00FD7282" w:rsidP="00FD7282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928C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76205" w:rsidRDefault="00FD7282" w:rsidP="00FD7282">
      <w:pPr>
        <w:spacing w:line="360" w:lineRule="auto"/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E928C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476205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1C" w:rsidRDefault="006D651C">
      <w:r>
        <w:separator/>
      </w:r>
    </w:p>
  </w:endnote>
  <w:endnote w:type="continuationSeparator" w:id="0">
    <w:p w:rsidR="006D651C" w:rsidRDefault="006D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05" w:rsidRPr="00476205" w:rsidRDefault="00476205">
    <w:pPr>
      <w:pStyle w:val="a7"/>
      <w:rPr>
        <w:sz w:val="10"/>
        <w:szCs w:val="10"/>
      </w:rPr>
    </w:pPr>
    <w:r w:rsidRPr="00476205">
      <w:rPr>
        <w:sz w:val="10"/>
        <w:szCs w:val="10"/>
      </w:rPr>
      <w:fldChar w:fldCharType="begin"/>
    </w:r>
    <w:r w:rsidRPr="0047620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76205">
      <w:rPr>
        <w:sz w:val="10"/>
        <w:szCs w:val="10"/>
      </w:rPr>
      <w:fldChar w:fldCharType="separate"/>
    </w:r>
    <w:r w:rsidR="00FD7282">
      <w:rPr>
        <w:rFonts w:cs="Arial Unicode MS"/>
        <w:noProof/>
        <w:sz w:val="10"/>
        <w:szCs w:val="10"/>
        <w:lang w:val="uk-UA"/>
      </w:rPr>
      <w:t>G:\2022\Suddi\Uhvala VP\54.docx</w:t>
    </w:r>
    <w:r w:rsidRPr="0047620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05" w:rsidRPr="00476205" w:rsidRDefault="00476205">
    <w:pPr>
      <w:pStyle w:val="a7"/>
      <w:rPr>
        <w:sz w:val="10"/>
        <w:szCs w:val="10"/>
      </w:rPr>
    </w:pPr>
    <w:r w:rsidRPr="00476205">
      <w:rPr>
        <w:sz w:val="10"/>
        <w:szCs w:val="10"/>
      </w:rPr>
      <w:fldChar w:fldCharType="begin"/>
    </w:r>
    <w:r w:rsidRPr="0047620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476205">
      <w:rPr>
        <w:sz w:val="10"/>
        <w:szCs w:val="10"/>
      </w:rPr>
      <w:fldChar w:fldCharType="separate"/>
    </w:r>
    <w:r w:rsidR="00FD7282">
      <w:rPr>
        <w:rFonts w:cs="Arial Unicode MS"/>
        <w:noProof/>
        <w:sz w:val="10"/>
        <w:szCs w:val="10"/>
        <w:lang w:val="uk-UA"/>
      </w:rPr>
      <w:t>G:\2022\Suddi\Uhvala VP\54.docx</w:t>
    </w:r>
    <w:r w:rsidRPr="0047620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1C" w:rsidRDefault="006D651C">
      <w:r>
        <w:separator/>
      </w:r>
    </w:p>
  </w:footnote>
  <w:footnote w:type="continuationSeparator" w:id="0">
    <w:p w:rsidR="006D651C" w:rsidRDefault="006D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FD7282" w:rsidRPr="00FD7282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E465B"/>
    <w:rsid w:val="000F071D"/>
    <w:rsid w:val="00107CAA"/>
    <w:rsid w:val="00116C08"/>
    <w:rsid w:val="00121F80"/>
    <w:rsid w:val="00123B7C"/>
    <w:rsid w:val="00142078"/>
    <w:rsid w:val="001445BD"/>
    <w:rsid w:val="00156D02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B4BD2"/>
    <w:rsid w:val="002E5123"/>
    <w:rsid w:val="003366EE"/>
    <w:rsid w:val="00340857"/>
    <w:rsid w:val="00362C18"/>
    <w:rsid w:val="003665D5"/>
    <w:rsid w:val="00372E39"/>
    <w:rsid w:val="00385552"/>
    <w:rsid w:val="003A5CF4"/>
    <w:rsid w:val="00412DF4"/>
    <w:rsid w:val="00476205"/>
    <w:rsid w:val="004D1D06"/>
    <w:rsid w:val="004D3273"/>
    <w:rsid w:val="004D6C32"/>
    <w:rsid w:val="004E2FC1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B1AE3"/>
    <w:rsid w:val="006C16A6"/>
    <w:rsid w:val="006D651C"/>
    <w:rsid w:val="006E076E"/>
    <w:rsid w:val="007025CC"/>
    <w:rsid w:val="00704A93"/>
    <w:rsid w:val="007413C7"/>
    <w:rsid w:val="00751205"/>
    <w:rsid w:val="00757C05"/>
    <w:rsid w:val="00794777"/>
    <w:rsid w:val="007B7060"/>
    <w:rsid w:val="007C2035"/>
    <w:rsid w:val="007E1876"/>
    <w:rsid w:val="007E4799"/>
    <w:rsid w:val="00865555"/>
    <w:rsid w:val="00870814"/>
    <w:rsid w:val="008B788A"/>
    <w:rsid w:val="008C670B"/>
    <w:rsid w:val="008D1AF3"/>
    <w:rsid w:val="008E0101"/>
    <w:rsid w:val="008F13BB"/>
    <w:rsid w:val="009170A9"/>
    <w:rsid w:val="009A0F3B"/>
    <w:rsid w:val="009B7385"/>
    <w:rsid w:val="009D072B"/>
    <w:rsid w:val="009E72D2"/>
    <w:rsid w:val="009F1DD6"/>
    <w:rsid w:val="00A13654"/>
    <w:rsid w:val="00A46850"/>
    <w:rsid w:val="00A76089"/>
    <w:rsid w:val="00AD18EA"/>
    <w:rsid w:val="00AE4530"/>
    <w:rsid w:val="00B07705"/>
    <w:rsid w:val="00B349AC"/>
    <w:rsid w:val="00B43A4A"/>
    <w:rsid w:val="00B577B2"/>
    <w:rsid w:val="00B60D8A"/>
    <w:rsid w:val="00BA1435"/>
    <w:rsid w:val="00BB5821"/>
    <w:rsid w:val="00BC05E4"/>
    <w:rsid w:val="00BC2788"/>
    <w:rsid w:val="00BD595E"/>
    <w:rsid w:val="00BD7D5D"/>
    <w:rsid w:val="00BF7BE2"/>
    <w:rsid w:val="00C1368F"/>
    <w:rsid w:val="00C17CBA"/>
    <w:rsid w:val="00C37AC9"/>
    <w:rsid w:val="00C42BCB"/>
    <w:rsid w:val="00C75EFE"/>
    <w:rsid w:val="00C7613C"/>
    <w:rsid w:val="00CB6CAB"/>
    <w:rsid w:val="00D16262"/>
    <w:rsid w:val="00D43388"/>
    <w:rsid w:val="00D77BCB"/>
    <w:rsid w:val="00E263A1"/>
    <w:rsid w:val="00E31B17"/>
    <w:rsid w:val="00E33B47"/>
    <w:rsid w:val="00E942E0"/>
    <w:rsid w:val="00EA6DC7"/>
    <w:rsid w:val="00ED28A1"/>
    <w:rsid w:val="00F1542E"/>
    <w:rsid w:val="00F25BD3"/>
    <w:rsid w:val="00F507FA"/>
    <w:rsid w:val="00F624B1"/>
    <w:rsid w:val="00F7522D"/>
    <w:rsid w:val="00F85F39"/>
    <w:rsid w:val="00F922DE"/>
    <w:rsid w:val="00FA3C85"/>
    <w:rsid w:val="00FA6FBF"/>
    <w:rsid w:val="00FB29F8"/>
    <w:rsid w:val="00FC3275"/>
    <w:rsid w:val="00FC560C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9D31-13B5-4F52-9FD7-A7881728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3349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2022-01-21T10:10:00Z</cp:lastPrinted>
  <dcterms:created xsi:type="dcterms:W3CDTF">2022-01-18T11:45:00Z</dcterms:created>
  <dcterms:modified xsi:type="dcterms:W3CDTF">2022-01-21T10:10:00Z</dcterms:modified>
</cp:coreProperties>
</file>