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56" w:rsidRDefault="00F62456" w:rsidP="00F6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F62456" w:rsidRDefault="00F51AE5" w:rsidP="00F624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r w:rsidR="00DB45BB" w:rsidRPr="00F62456">
        <w:rPr>
          <w:rFonts w:ascii="Times New Roman" w:hAnsi="Times New Roman" w:cs="Times New Roman"/>
          <w:b/>
          <w:sz w:val="28"/>
          <w:szCs w:val="28"/>
        </w:rPr>
        <w:t>Дмитришина Любомира Ігоровича</w:t>
      </w:r>
      <w:r w:rsidR="00AA22F0" w:rsidRPr="00F62456">
        <w:rPr>
          <w:rFonts w:ascii="Times New Roman" w:hAnsi="Times New Roman" w:cs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DB45BB" w:rsidRPr="00F62456">
        <w:rPr>
          <w:rFonts w:ascii="Times New Roman" w:hAnsi="Times New Roman" w:cs="Times New Roman"/>
          <w:b/>
          <w:sz w:val="28"/>
          <w:szCs w:val="28"/>
        </w:rPr>
        <w:t>статті 185</w:t>
      </w:r>
      <w:r w:rsidR="00672492" w:rsidRPr="00F6245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72492" w:rsidRPr="00F62456">
        <w:rPr>
          <w:rFonts w:ascii="Times New Roman" w:hAnsi="Times New Roman" w:cs="Times New Roman"/>
          <w:b/>
          <w:sz w:val="28"/>
          <w:szCs w:val="28"/>
        </w:rPr>
        <w:t xml:space="preserve">, пункту </w:t>
      </w:r>
      <w:r w:rsidR="00B349D3" w:rsidRPr="00F62456">
        <w:rPr>
          <w:rFonts w:ascii="Times New Roman" w:hAnsi="Times New Roman" w:cs="Times New Roman"/>
          <w:b/>
          <w:sz w:val="28"/>
          <w:szCs w:val="28"/>
        </w:rPr>
        <w:t>2</w:t>
      </w:r>
      <w:r w:rsidR="00672492" w:rsidRPr="00F6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60" w:rsidRPr="00F62456">
        <w:rPr>
          <w:rFonts w:ascii="Times New Roman" w:hAnsi="Times New Roman" w:cs="Times New Roman"/>
          <w:b/>
          <w:sz w:val="28"/>
          <w:szCs w:val="28"/>
        </w:rPr>
        <w:t xml:space="preserve">статті </w:t>
      </w:r>
      <w:r w:rsidR="00672492" w:rsidRPr="00F62456">
        <w:rPr>
          <w:rFonts w:ascii="Times New Roman" w:hAnsi="Times New Roman" w:cs="Times New Roman"/>
          <w:b/>
          <w:sz w:val="28"/>
          <w:szCs w:val="28"/>
        </w:rPr>
        <w:t>278, статті 280</w:t>
      </w:r>
      <w:r w:rsidR="00AA22F0" w:rsidRPr="00F6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492" w:rsidRPr="00F62456">
        <w:rPr>
          <w:rFonts w:ascii="Times New Roman" w:hAnsi="Times New Roman" w:cs="Times New Roman"/>
          <w:b/>
          <w:sz w:val="28"/>
          <w:szCs w:val="28"/>
        </w:rPr>
        <w:t>К</w:t>
      </w:r>
      <w:r w:rsidR="00AA22F0" w:rsidRPr="00F62456">
        <w:rPr>
          <w:rFonts w:ascii="Times New Roman" w:hAnsi="Times New Roman" w:cs="Times New Roman"/>
          <w:b/>
          <w:sz w:val="28"/>
          <w:szCs w:val="28"/>
        </w:rPr>
        <w:t>одексу України</w:t>
      </w:r>
      <w:r w:rsidR="000107E1" w:rsidRPr="00F62456">
        <w:rPr>
          <w:rFonts w:ascii="Times New Roman" w:hAnsi="Times New Roman" w:cs="Times New Roman"/>
          <w:b/>
          <w:sz w:val="28"/>
          <w:szCs w:val="28"/>
        </w:rPr>
        <w:t xml:space="preserve"> про адміністративні правопорушення</w:t>
      </w:r>
      <w:r w:rsidR="00F62456">
        <w:rPr>
          <w:rFonts w:ascii="Times New Roman" w:hAnsi="Times New Roman" w:cs="Times New Roman"/>
          <w:b/>
          <w:sz w:val="28"/>
          <w:szCs w:val="28"/>
        </w:rPr>
        <w:br/>
      </w:r>
    </w:p>
    <w:p w:rsidR="00F51AE5" w:rsidRPr="00F62456" w:rsidRDefault="00F51AE5" w:rsidP="00F62456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ї в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799"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Справа № 3-18/2024</w:t>
      </w:r>
      <w:r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4360"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41/24</w:t>
      </w:r>
      <w:r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51AE5" w:rsidRPr="00F62456" w:rsidRDefault="00F3153B" w:rsidP="00F624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21 </w:t>
      </w:r>
      <w:r w:rsidR="00D740B2" w:rsidRPr="00F624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лютого</w:t>
      </w:r>
      <w:r w:rsidR="00F51AE5"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A22F0"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51AE5"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F51AE5" w:rsidRPr="00F62456" w:rsidRDefault="008F68E8" w:rsidP="00F6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3153B"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F51AE5"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-1(І)/202</w:t>
      </w:r>
      <w:r w:rsidRPr="00F6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F51AE5" w:rsidRPr="00F62456" w:rsidRDefault="00F51AE5" w:rsidP="00F6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F62456" w:rsidRDefault="00F51AE5" w:rsidP="00F6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="00BE767F"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складі:</w:t>
      </w:r>
    </w:p>
    <w:p w:rsidR="00F51AE5" w:rsidRPr="00F62456" w:rsidRDefault="00F51AE5" w:rsidP="00F6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F62456" w:rsidRDefault="00F51AE5" w:rsidP="00F6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F51AE5" w:rsidRPr="00F62456" w:rsidRDefault="00F51AE5" w:rsidP="00F6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Кичун Віктор Іванович,</w:t>
      </w:r>
    </w:p>
    <w:p w:rsidR="00F51AE5" w:rsidRPr="00F62456" w:rsidRDefault="00F51AE5" w:rsidP="00F62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Філюк Петро Тодосьович,</w:t>
      </w:r>
    </w:p>
    <w:p w:rsidR="00F51AE5" w:rsidRPr="00F62456" w:rsidRDefault="00F51AE5" w:rsidP="00F62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E8" w:rsidRPr="00F62456" w:rsidRDefault="00F51AE5" w:rsidP="00F62456">
      <w:pPr>
        <w:pStyle w:val="2"/>
        <w:widowControl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F62456">
        <w:rPr>
          <w:rFonts w:eastAsia="Times New Roman"/>
          <w:sz w:val="28"/>
          <w:szCs w:val="28"/>
          <w:lang w:eastAsia="ru-RU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0107E1" w:rsidRPr="00F62456">
        <w:rPr>
          <w:sz w:val="28"/>
          <w:szCs w:val="28"/>
        </w:rPr>
        <w:t>Дмитришина Любомира Ігоровича щодо відповідності Констит</w:t>
      </w:r>
      <w:r w:rsidR="00F62456">
        <w:rPr>
          <w:sz w:val="28"/>
          <w:szCs w:val="28"/>
        </w:rPr>
        <w:t>уції України (конституційності)</w:t>
      </w:r>
      <w:r w:rsidR="00F62456">
        <w:rPr>
          <w:sz w:val="28"/>
          <w:szCs w:val="28"/>
        </w:rPr>
        <w:br/>
      </w:r>
      <w:r w:rsidR="000107E1" w:rsidRPr="00F62456">
        <w:rPr>
          <w:sz w:val="28"/>
          <w:szCs w:val="28"/>
        </w:rPr>
        <w:t>статті 185</w:t>
      </w:r>
      <w:r w:rsidR="000107E1" w:rsidRPr="00F62456">
        <w:rPr>
          <w:sz w:val="28"/>
          <w:szCs w:val="28"/>
          <w:vertAlign w:val="superscript"/>
        </w:rPr>
        <w:t>1</w:t>
      </w:r>
      <w:r w:rsidR="003C445F" w:rsidRPr="00F62456">
        <w:rPr>
          <w:sz w:val="28"/>
          <w:szCs w:val="28"/>
        </w:rPr>
        <w:t>, пункту 2</w:t>
      </w:r>
      <w:r w:rsidR="000107E1" w:rsidRPr="00F62456">
        <w:rPr>
          <w:sz w:val="28"/>
          <w:szCs w:val="28"/>
        </w:rPr>
        <w:t xml:space="preserve"> статті 278, статті 280 Кодексу України про адміністративні правопорушення</w:t>
      </w:r>
      <w:r w:rsidR="008F68E8" w:rsidRPr="00F62456">
        <w:rPr>
          <w:sz w:val="28"/>
          <w:szCs w:val="28"/>
        </w:rPr>
        <w:t>.</w:t>
      </w:r>
    </w:p>
    <w:p w:rsidR="00F51AE5" w:rsidRPr="00F62456" w:rsidRDefault="00F51AE5" w:rsidP="00F624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F62456" w:rsidRDefault="00F51AE5" w:rsidP="00F624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F51AE5" w:rsidRPr="00F62456" w:rsidRDefault="00F51AE5" w:rsidP="00F62456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F62456" w:rsidRDefault="00F51AE5" w:rsidP="00F624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F51AE5" w:rsidRPr="00F62456" w:rsidRDefault="00F51AE5" w:rsidP="00F62456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63" w:rsidRPr="00F62456" w:rsidRDefault="00F51AE5" w:rsidP="00F62456">
      <w:pPr>
        <w:pStyle w:val="2"/>
        <w:widowControl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F62456">
        <w:rPr>
          <w:sz w:val="28"/>
          <w:szCs w:val="28"/>
          <w:lang w:eastAsia="ru-RU"/>
        </w:rPr>
        <w:t xml:space="preserve">1. </w:t>
      </w:r>
      <w:r w:rsidR="00605796" w:rsidRPr="00F62456">
        <w:rPr>
          <w:bCs/>
          <w:sz w:val="28"/>
          <w:szCs w:val="28"/>
        </w:rPr>
        <w:t>Дмитришин Л.І.</w:t>
      </w:r>
      <w:r w:rsidR="00793C63" w:rsidRPr="00F62456">
        <w:rPr>
          <w:bCs/>
          <w:sz w:val="28"/>
          <w:szCs w:val="28"/>
        </w:rPr>
        <w:t xml:space="preserve"> звернувся до Конституційного Суду України з клопотанням перевірити на відповідність </w:t>
      </w:r>
      <w:r w:rsidR="004B57B7" w:rsidRPr="00F62456">
        <w:rPr>
          <w:bCs/>
          <w:sz w:val="28"/>
          <w:szCs w:val="28"/>
        </w:rPr>
        <w:t xml:space="preserve">частині першій </w:t>
      </w:r>
      <w:r w:rsidR="00793C63" w:rsidRPr="00F62456">
        <w:rPr>
          <w:bCs/>
          <w:sz w:val="28"/>
          <w:szCs w:val="28"/>
        </w:rPr>
        <w:t>статті 8</w:t>
      </w:r>
      <w:r w:rsidR="004B57B7" w:rsidRPr="00F62456">
        <w:rPr>
          <w:bCs/>
          <w:sz w:val="28"/>
          <w:szCs w:val="28"/>
        </w:rPr>
        <w:t xml:space="preserve"> Конституції У</w:t>
      </w:r>
      <w:r w:rsidR="003C445F" w:rsidRPr="00F62456">
        <w:rPr>
          <w:bCs/>
          <w:sz w:val="28"/>
          <w:szCs w:val="28"/>
        </w:rPr>
        <w:t>країни (конституційність) статтю</w:t>
      </w:r>
      <w:r w:rsidR="004B57B7" w:rsidRPr="00F62456">
        <w:rPr>
          <w:bCs/>
          <w:sz w:val="28"/>
          <w:szCs w:val="28"/>
        </w:rPr>
        <w:t xml:space="preserve"> 185</w:t>
      </w:r>
      <w:r w:rsidR="004B57B7" w:rsidRPr="00F62456">
        <w:rPr>
          <w:bCs/>
          <w:sz w:val="28"/>
          <w:szCs w:val="28"/>
          <w:vertAlign w:val="superscript"/>
        </w:rPr>
        <w:t>1</w:t>
      </w:r>
      <w:r w:rsidR="00D07C16" w:rsidRPr="00F62456">
        <w:rPr>
          <w:sz w:val="28"/>
          <w:szCs w:val="28"/>
        </w:rPr>
        <w:t xml:space="preserve"> Кодексу України про адміністративні правопорушення</w:t>
      </w:r>
      <w:r w:rsidR="00D07C16" w:rsidRPr="00F62456">
        <w:rPr>
          <w:b/>
          <w:bCs/>
          <w:sz w:val="28"/>
          <w:szCs w:val="28"/>
        </w:rPr>
        <w:t xml:space="preserve"> </w:t>
      </w:r>
      <w:r w:rsidR="00D07C16" w:rsidRPr="00F62456">
        <w:rPr>
          <w:bCs/>
          <w:sz w:val="28"/>
          <w:szCs w:val="28"/>
        </w:rPr>
        <w:t>(далі – Кодекс)</w:t>
      </w:r>
      <w:r w:rsidR="004B57B7" w:rsidRPr="00F62456">
        <w:rPr>
          <w:bCs/>
          <w:sz w:val="28"/>
          <w:szCs w:val="28"/>
        </w:rPr>
        <w:t xml:space="preserve">, </w:t>
      </w:r>
      <w:r w:rsidR="007B0417" w:rsidRPr="00F62456">
        <w:rPr>
          <w:bCs/>
          <w:sz w:val="28"/>
          <w:szCs w:val="28"/>
        </w:rPr>
        <w:t xml:space="preserve">частині </w:t>
      </w:r>
      <w:r w:rsidR="00203415" w:rsidRPr="00F62456">
        <w:rPr>
          <w:bCs/>
          <w:sz w:val="28"/>
          <w:szCs w:val="28"/>
        </w:rPr>
        <w:t xml:space="preserve">першій </w:t>
      </w:r>
      <w:r w:rsidR="007B0417" w:rsidRPr="00F62456">
        <w:rPr>
          <w:bCs/>
          <w:sz w:val="28"/>
          <w:szCs w:val="28"/>
        </w:rPr>
        <w:t xml:space="preserve">статті 8, частині першій, </w:t>
      </w:r>
      <w:r w:rsidR="007B0417" w:rsidRPr="00F62456">
        <w:rPr>
          <w:bCs/>
          <w:sz w:val="28"/>
          <w:szCs w:val="28"/>
        </w:rPr>
        <w:br/>
      </w:r>
      <w:r w:rsidR="007B0417" w:rsidRPr="00F62456">
        <w:rPr>
          <w:bCs/>
          <w:sz w:val="28"/>
          <w:szCs w:val="28"/>
        </w:rPr>
        <w:lastRenderedPageBreak/>
        <w:t xml:space="preserve">пункту 3 частини другої статті 129 Конституції України (конституційність) </w:t>
      </w:r>
      <w:r w:rsidR="00203415" w:rsidRPr="00F62456">
        <w:rPr>
          <w:bCs/>
          <w:sz w:val="28"/>
          <w:szCs w:val="28"/>
        </w:rPr>
        <w:t>пункт</w:t>
      </w:r>
      <w:r w:rsidR="00B127DA" w:rsidRPr="00F62456">
        <w:rPr>
          <w:bCs/>
          <w:sz w:val="28"/>
          <w:szCs w:val="28"/>
        </w:rPr>
        <w:t xml:space="preserve"> 2 статті</w:t>
      </w:r>
      <w:r w:rsidR="00FB048B" w:rsidRPr="00F62456">
        <w:rPr>
          <w:bCs/>
          <w:sz w:val="28"/>
          <w:szCs w:val="28"/>
        </w:rPr>
        <w:t xml:space="preserve"> 278,</w:t>
      </w:r>
      <w:r w:rsidR="00203415" w:rsidRPr="00F62456">
        <w:rPr>
          <w:bCs/>
          <w:sz w:val="28"/>
          <w:szCs w:val="28"/>
        </w:rPr>
        <w:t xml:space="preserve"> статтю</w:t>
      </w:r>
      <w:r w:rsidR="007B0417" w:rsidRPr="00F62456">
        <w:rPr>
          <w:bCs/>
          <w:sz w:val="28"/>
          <w:szCs w:val="28"/>
        </w:rPr>
        <w:t xml:space="preserve"> 2</w:t>
      </w:r>
      <w:r w:rsidR="00FB048B" w:rsidRPr="00F62456">
        <w:rPr>
          <w:bCs/>
          <w:sz w:val="28"/>
          <w:szCs w:val="28"/>
        </w:rPr>
        <w:t>80</w:t>
      </w:r>
      <w:r w:rsidR="00B127DA" w:rsidRPr="00F62456">
        <w:rPr>
          <w:bCs/>
          <w:sz w:val="28"/>
          <w:szCs w:val="28"/>
        </w:rPr>
        <w:t xml:space="preserve"> Кодексу</w:t>
      </w:r>
      <w:r w:rsidR="00793C63" w:rsidRPr="00F62456">
        <w:rPr>
          <w:bCs/>
          <w:sz w:val="28"/>
          <w:szCs w:val="28"/>
        </w:rPr>
        <w:t>.</w:t>
      </w:r>
    </w:p>
    <w:p w:rsidR="008A230E" w:rsidRPr="00F62456" w:rsidRDefault="00793C63" w:rsidP="00F6245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62456">
        <w:rPr>
          <w:sz w:val="28"/>
          <w:szCs w:val="28"/>
        </w:rPr>
        <w:t>Згідно з</w:t>
      </w:r>
      <w:r w:rsidR="00796CAB" w:rsidRPr="00F62456">
        <w:rPr>
          <w:sz w:val="28"/>
          <w:szCs w:val="28"/>
        </w:rPr>
        <w:t>і</w:t>
      </w:r>
      <w:r w:rsidRPr="00F62456">
        <w:rPr>
          <w:sz w:val="28"/>
          <w:szCs w:val="28"/>
        </w:rPr>
        <w:t xml:space="preserve"> </w:t>
      </w:r>
      <w:r w:rsidR="008A230E" w:rsidRPr="00F62456">
        <w:rPr>
          <w:sz w:val="28"/>
          <w:szCs w:val="28"/>
        </w:rPr>
        <w:t>статтею 185</w:t>
      </w:r>
      <w:r w:rsidR="008A230E" w:rsidRPr="00F62456">
        <w:rPr>
          <w:sz w:val="28"/>
          <w:szCs w:val="28"/>
          <w:vertAlign w:val="superscript"/>
        </w:rPr>
        <w:t>1</w:t>
      </w:r>
      <w:r w:rsidRPr="00F62456">
        <w:rPr>
          <w:sz w:val="28"/>
          <w:szCs w:val="28"/>
          <w:vertAlign w:val="superscript"/>
        </w:rPr>
        <w:t xml:space="preserve"> </w:t>
      </w:r>
      <w:r w:rsidRPr="00F62456">
        <w:rPr>
          <w:sz w:val="28"/>
          <w:szCs w:val="28"/>
        </w:rPr>
        <w:t>Кодексу</w:t>
      </w:r>
      <w:r w:rsidR="008A230E" w:rsidRPr="00F62456">
        <w:rPr>
          <w:sz w:val="28"/>
          <w:szCs w:val="28"/>
          <w:shd w:val="clear" w:color="auto" w:fill="FFFFFF"/>
        </w:rPr>
        <w:t xml:space="preserve"> </w:t>
      </w:r>
      <w:r w:rsidR="008A230E" w:rsidRPr="00F62456">
        <w:rPr>
          <w:sz w:val="28"/>
          <w:szCs w:val="28"/>
        </w:rPr>
        <w:t>порушення встановленого порядку організації або проведення зборів, мітингів, вуличних походів і демонстрацій</w:t>
      </w:r>
      <w:bookmarkStart w:id="0" w:name="n1973"/>
      <w:bookmarkEnd w:id="0"/>
      <w:r w:rsidR="00796CAB" w:rsidRPr="00F62456">
        <w:rPr>
          <w:sz w:val="28"/>
          <w:szCs w:val="28"/>
        </w:rPr>
        <w:t xml:space="preserve"> </w:t>
      </w:r>
      <w:r w:rsidR="00B127DA" w:rsidRPr="00F62456">
        <w:rPr>
          <w:sz w:val="28"/>
          <w:szCs w:val="28"/>
        </w:rPr>
        <w:t>має наслідком</w:t>
      </w:r>
      <w:r w:rsidR="008A230E" w:rsidRPr="00F62456">
        <w:rPr>
          <w:sz w:val="28"/>
          <w:szCs w:val="28"/>
        </w:rPr>
        <w:t xml:space="preserve"> попередження або накладення штрафу від десяти до двадцяти п’яти неоподатковуваних мінімумів доходів громадян</w:t>
      </w:r>
      <w:bookmarkStart w:id="1" w:name="n1974"/>
      <w:bookmarkEnd w:id="1"/>
      <w:r w:rsidR="00B127DA" w:rsidRPr="00F62456">
        <w:rPr>
          <w:sz w:val="28"/>
          <w:szCs w:val="28"/>
        </w:rPr>
        <w:t>;</w:t>
      </w:r>
      <w:r w:rsidR="008A230E" w:rsidRPr="00F62456">
        <w:rPr>
          <w:sz w:val="28"/>
          <w:szCs w:val="28"/>
        </w:rPr>
        <w:t xml:space="preserve"> </w:t>
      </w:r>
      <w:r w:rsidR="00B127DA" w:rsidRPr="00F62456">
        <w:rPr>
          <w:sz w:val="28"/>
          <w:szCs w:val="28"/>
        </w:rPr>
        <w:t>т</w:t>
      </w:r>
      <w:r w:rsidR="008A230E" w:rsidRPr="00F62456">
        <w:rPr>
          <w:sz w:val="28"/>
          <w:szCs w:val="28"/>
        </w:rPr>
        <w:t>і самі дії, вчинені повторно протягом року після застосування заходів адміністративного стягнення або організатором зборів, мітингу, вуличного походу, демонстрації</w:t>
      </w:r>
      <w:bookmarkStart w:id="2" w:name="n1975"/>
      <w:bookmarkEnd w:id="2"/>
      <w:r w:rsidR="00796CAB" w:rsidRPr="00F62456">
        <w:rPr>
          <w:sz w:val="28"/>
          <w:szCs w:val="28"/>
        </w:rPr>
        <w:t xml:space="preserve">, </w:t>
      </w:r>
      <w:r w:rsidR="00727DBB" w:rsidRPr="00F62456">
        <w:rPr>
          <w:sz w:val="28"/>
          <w:szCs w:val="28"/>
        </w:rPr>
        <w:t xml:space="preserve">мають наслідком </w:t>
      </w:r>
      <w:r w:rsidR="008A230E" w:rsidRPr="00F62456">
        <w:rPr>
          <w:sz w:val="28"/>
          <w:szCs w:val="28"/>
        </w:rPr>
        <w:t xml:space="preserve">накладення штрафу від двадцяти до ста неоподатковуваних мінімумів доходів громадян або виправні роботи на строк від одного до двох місяців з відрахуванням двадцяти </w:t>
      </w:r>
      <w:r w:rsidR="00727DBB" w:rsidRPr="00F62456">
        <w:rPr>
          <w:sz w:val="28"/>
          <w:szCs w:val="28"/>
        </w:rPr>
        <w:t>відсотків</w:t>
      </w:r>
      <w:r w:rsidR="008A230E" w:rsidRPr="00F62456">
        <w:rPr>
          <w:sz w:val="28"/>
          <w:szCs w:val="28"/>
        </w:rPr>
        <w:t xml:space="preserve"> заробітку, або адмін</w:t>
      </w:r>
      <w:r w:rsidR="00727DBB" w:rsidRPr="00F62456">
        <w:rPr>
          <w:sz w:val="28"/>
          <w:szCs w:val="28"/>
        </w:rPr>
        <w:t>істративний арешт на строк до п’ятнадцяти</w:t>
      </w:r>
      <w:r w:rsidR="008A230E" w:rsidRPr="00F62456">
        <w:rPr>
          <w:sz w:val="28"/>
          <w:szCs w:val="28"/>
        </w:rPr>
        <w:t xml:space="preserve"> діб.</w:t>
      </w:r>
    </w:p>
    <w:p w:rsidR="00385261" w:rsidRPr="00F62456" w:rsidRDefault="00385261" w:rsidP="00F6245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62456">
        <w:rPr>
          <w:sz w:val="28"/>
          <w:szCs w:val="28"/>
        </w:rPr>
        <w:t xml:space="preserve">Відповідно до </w:t>
      </w:r>
      <w:r w:rsidR="004A16E3" w:rsidRPr="00F62456">
        <w:rPr>
          <w:sz w:val="28"/>
          <w:szCs w:val="28"/>
        </w:rPr>
        <w:t xml:space="preserve">пункту 2 статті 278 Кодексу </w:t>
      </w:r>
      <w:r w:rsidRPr="00F62456">
        <w:rPr>
          <w:sz w:val="28"/>
          <w:szCs w:val="28"/>
        </w:rPr>
        <w:t xml:space="preserve">орган (посадова особа) </w:t>
      </w:r>
      <w:r w:rsidR="00727DBB" w:rsidRPr="00F62456">
        <w:rPr>
          <w:sz w:val="28"/>
          <w:szCs w:val="28"/>
        </w:rPr>
        <w:t xml:space="preserve">під час </w:t>
      </w:r>
      <w:r w:rsidR="00EB0238" w:rsidRPr="00F62456">
        <w:rPr>
          <w:sz w:val="28"/>
          <w:szCs w:val="28"/>
        </w:rPr>
        <w:t>підготування</w:t>
      </w:r>
      <w:r w:rsidRPr="00F62456">
        <w:rPr>
          <w:sz w:val="28"/>
          <w:szCs w:val="28"/>
        </w:rPr>
        <w:t xml:space="preserve"> до розгляду справи про адміністративне правопорушення </w:t>
      </w:r>
      <w:r w:rsidR="001F086F" w:rsidRPr="00F62456">
        <w:rPr>
          <w:sz w:val="28"/>
          <w:szCs w:val="28"/>
        </w:rPr>
        <w:t>розв’язує, зокрема, таке</w:t>
      </w:r>
      <w:r w:rsidRPr="00F62456">
        <w:rPr>
          <w:sz w:val="28"/>
          <w:szCs w:val="28"/>
        </w:rPr>
        <w:t xml:space="preserve"> питання</w:t>
      </w:r>
      <w:bookmarkStart w:id="3" w:name="n668"/>
      <w:bookmarkStart w:id="4" w:name="n669"/>
      <w:bookmarkEnd w:id="3"/>
      <w:bookmarkEnd w:id="4"/>
      <w:r w:rsidR="001F086F" w:rsidRPr="00F62456">
        <w:rPr>
          <w:sz w:val="28"/>
          <w:szCs w:val="28"/>
        </w:rPr>
        <w:t>:</w:t>
      </w:r>
      <w:r w:rsidR="004A16E3" w:rsidRPr="00F62456">
        <w:rPr>
          <w:sz w:val="28"/>
          <w:szCs w:val="28"/>
        </w:rPr>
        <w:t xml:space="preserve"> </w:t>
      </w:r>
      <w:r w:rsidR="00A6514B" w:rsidRPr="00F62456">
        <w:rPr>
          <w:sz w:val="28"/>
          <w:szCs w:val="28"/>
          <w:lang w:eastAsia="ru-RU"/>
        </w:rPr>
        <w:t>„</w:t>
      </w:r>
      <w:r w:rsidRPr="00F62456">
        <w:rPr>
          <w:sz w:val="28"/>
          <w:szCs w:val="28"/>
        </w:rPr>
        <w:t>чи правильно складено протокол та інші матеріали справи про</w:t>
      </w:r>
      <w:r w:rsidR="007304E7" w:rsidRPr="00F62456">
        <w:rPr>
          <w:sz w:val="28"/>
          <w:szCs w:val="28"/>
        </w:rPr>
        <w:t xml:space="preserve"> адміністративне правопорушення</w:t>
      </w:r>
      <w:r w:rsidR="00A6514B" w:rsidRPr="00F62456">
        <w:rPr>
          <w:color w:val="000000"/>
          <w:sz w:val="28"/>
          <w:szCs w:val="28"/>
        </w:rPr>
        <w:t>“</w:t>
      </w:r>
      <w:r w:rsidR="007304E7" w:rsidRPr="00F62456">
        <w:rPr>
          <w:sz w:val="28"/>
          <w:szCs w:val="28"/>
        </w:rPr>
        <w:t>.</w:t>
      </w:r>
    </w:p>
    <w:p w:rsidR="00793C63" w:rsidRPr="00F62456" w:rsidRDefault="007304E7" w:rsidP="00F6245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62456">
        <w:rPr>
          <w:sz w:val="28"/>
          <w:szCs w:val="28"/>
        </w:rPr>
        <w:t>Згідно з</w:t>
      </w:r>
      <w:r w:rsidR="00171E9C" w:rsidRPr="00F62456">
        <w:rPr>
          <w:sz w:val="28"/>
          <w:szCs w:val="28"/>
        </w:rPr>
        <w:t>і</w:t>
      </w:r>
      <w:r w:rsidRPr="00F62456">
        <w:rPr>
          <w:sz w:val="28"/>
          <w:szCs w:val="28"/>
        </w:rPr>
        <w:t xml:space="preserve"> статтею 280</w:t>
      </w:r>
      <w:r w:rsidRPr="00F62456">
        <w:rPr>
          <w:sz w:val="28"/>
          <w:szCs w:val="28"/>
          <w:vertAlign w:val="superscript"/>
        </w:rPr>
        <w:t xml:space="preserve"> </w:t>
      </w:r>
      <w:r w:rsidRPr="00F62456">
        <w:rPr>
          <w:sz w:val="28"/>
          <w:szCs w:val="28"/>
        </w:rPr>
        <w:t xml:space="preserve">Кодексу </w:t>
      </w:r>
      <w:r w:rsidRPr="00F62456">
        <w:rPr>
          <w:sz w:val="28"/>
          <w:szCs w:val="28"/>
          <w:shd w:val="clear" w:color="auto" w:fill="FFFFFF"/>
        </w:rPr>
        <w:t xml:space="preserve">орган (посадова особа) </w:t>
      </w:r>
      <w:r w:rsidR="00AC7F3E" w:rsidRPr="00F62456">
        <w:rPr>
          <w:sz w:val="28"/>
          <w:szCs w:val="28"/>
          <w:shd w:val="clear" w:color="auto" w:fill="FFFFFF"/>
        </w:rPr>
        <w:t>під час розгляду</w:t>
      </w:r>
      <w:r w:rsidRPr="00F62456">
        <w:rPr>
          <w:sz w:val="28"/>
          <w:szCs w:val="28"/>
          <w:shd w:val="clear" w:color="auto" w:fill="FFFFFF"/>
        </w:rPr>
        <w:t xml:space="preserve"> справи про адміністративне правопорушення зобов’язаний з’ясувати: чи було вчинено адміністративне правопорушення, чи винна </w:t>
      </w:r>
      <w:r w:rsidR="00AC7F3E" w:rsidRPr="00F62456">
        <w:rPr>
          <w:sz w:val="28"/>
          <w:szCs w:val="28"/>
          <w:shd w:val="clear" w:color="auto" w:fill="FFFFFF"/>
        </w:rPr>
        <w:t>ця</w:t>
      </w:r>
      <w:r w:rsidRPr="00F62456">
        <w:rPr>
          <w:sz w:val="28"/>
          <w:szCs w:val="28"/>
          <w:shd w:val="clear" w:color="auto" w:fill="FFFFFF"/>
        </w:rPr>
        <w:t xml:space="preserve"> особа в його вчиненні, чи підлягає вона адміністративній відповідальності, чи є обставини, що пом’якшують і обтяжують відповідальність, чи заподіяно майнову ш</w:t>
      </w:r>
      <w:r w:rsidR="00AC7F3E" w:rsidRPr="00F62456">
        <w:rPr>
          <w:sz w:val="28"/>
          <w:szCs w:val="28"/>
          <w:shd w:val="clear" w:color="auto" w:fill="FFFFFF"/>
        </w:rPr>
        <w:t>коду, чи є підстави для передання</w:t>
      </w:r>
      <w:r w:rsidRPr="00F62456">
        <w:rPr>
          <w:sz w:val="28"/>
          <w:szCs w:val="28"/>
          <w:shd w:val="clear" w:color="auto" w:fill="FFFFFF"/>
        </w:rPr>
        <w:t xml:space="preserve"> матеріалів про адміністративне правопорушення на розгляд громадської організації, трудового колективу, а також з’ясувати інші обставини, що мають значення для</w:t>
      </w:r>
      <w:r w:rsidR="00171E9C" w:rsidRPr="00F62456">
        <w:rPr>
          <w:sz w:val="28"/>
          <w:szCs w:val="28"/>
          <w:shd w:val="clear" w:color="auto" w:fill="FFFFFF"/>
        </w:rPr>
        <w:t xml:space="preserve"> правильного вирішення справи; о</w:t>
      </w:r>
      <w:r w:rsidRPr="00F62456">
        <w:rPr>
          <w:sz w:val="28"/>
          <w:szCs w:val="28"/>
          <w:shd w:val="clear" w:color="auto" w:fill="FFFFFF"/>
        </w:rPr>
        <w:t>собливості розгляду справ про адміністративне правопорушення у сфері забезпечення безпеки дорожнього руху, зафіксоване в автоматичному режимі, безпеки на автомобільному транспорті та про порушення правил зупинки, стоянки, паркування транспортних засобів, зафіксоване в ре</w:t>
      </w:r>
      <w:r w:rsidR="00AC7F3E" w:rsidRPr="00F62456">
        <w:rPr>
          <w:sz w:val="28"/>
          <w:szCs w:val="28"/>
          <w:shd w:val="clear" w:color="auto" w:fill="FFFFFF"/>
        </w:rPr>
        <w:t>жимі фотозйомки (відеозапису), установлено</w:t>
      </w:r>
      <w:r w:rsidRPr="00F62456">
        <w:rPr>
          <w:sz w:val="28"/>
          <w:szCs w:val="28"/>
          <w:shd w:val="clear" w:color="auto" w:fill="FFFFFF"/>
        </w:rPr>
        <w:t> </w:t>
      </w:r>
      <w:hyperlink r:id="rId6" w:anchor="n677" w:history="1">
        <w:r w:rsidRPr="00F6245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статтями 279</w:t>
        </w:r>
      </w:hyperlink>
      <w:hyperlink r:id="rId7" w:anchor="n677" w:history="1">
        <w:r w:rsidRPr="00F62456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hyperlink r:id="rId8" w:anchor="n677" w:history="1">
        <w:r w:rsidR="00440874" w:rsidRPr="00F6245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F6245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279</w:t>
        </w:r>
      </w:hyperlink>
      <w:hyperlink r:id="rId9" w:anchor="n677" w:history="1">
        <w:r w:rsidRPr="00F62456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8</w:t>
        </w:r>
      </w:hyperlink>
      <w:r w:rsidRPr="00F62456">
        <w:rPr>
          <w:sz w:val="28"/>
          <w:szCs w:val="28"/>
          <w:shd w:val="clear" w:color="auto" w:fill="FFFFFF"/>
        </w:rPr>
        <w:t xml:space="preserve"> Кодексу.</w:t>
      </w:r>
    </w:p>
    <w:p w:rsidR="00793C63" w:rsidRPr="00F62456" w:rsidRDefault="00793C63" w:rsidP="00F62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56">
        <w:rPr>
          <w:rFonts w:ascii="Times New Roman" w:hAnsi="Times New Roman" w:cs="Times New Roman"/>
          <w:sz w:val="28"/>
          <w:szCs w:val="28"/>
        </w:rPr>
        <w:lastRenderedPageBreak/>
        <w:t xml:space="preserve">Суб’єкт права на конституційну скаргу зазначає, що </w:t>
      </w:r>
      <w:r w:rsidR="0076278F" w:rsidRPr="00F62456">
        <w:rPr>
          <w:rFonts w:ascii="Times New Roman" w:hAnsi="Times New Roman" w:cs="Times New Roman"/>
          <w:sz w:val="28"/>
          <w:szCs w:val="28"/>
        </w:rPr>
        <w:t>застосування судом у його справі статті 185</w:t>
      </w:r>
      <w:r w:rsidR="0076278F" w:rsidRPr="00F6245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C1F2C" w:rsidRPr="00F62456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76278F" w:rsidRPr="00F62456">
        <w:rPr>
          <w:rFonts w:ascii="Times New Roman" w:hAnsi="Times New Roman" w:cs="Times New Roman"/>
          <w:sz w:val="28"/>
          <w:szCs w:val="28"/>
        </w:rPr>
        <w:t>призвело до порушення його конституційних прав, визначених статтею 39, частиною першою статті 57 Конституції України</w:t>
      </w:r>
      <w:r w:rsidR="00837735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817667" w:rsidRPr="00F62456">
        <w:rPr>
          <w:rFonts w:ascii="Times New Roman" w:hAnsi="Times New Roman" w:cs="Times New Roman"/>
          <w:sz w:val="28"/>
          <w:szCs w:val="28"/>
        </w:rPr>
        <w:t>права на проведення мирних з</w:t>
      </w:r>
      <w:r w:rsidR="005C1F2C" w:rsidRPr="00F62456">
        <w:rPr>
          <w:rFonts w:ascii="Times New Roman" w:hAnsi="Times New Roman" w:cs="Times New Roman"/>
          <w:sz w:val="28"/>
          <w:szCs w:val="28"/>
        </w:rPr>
        <w:t>ібрань, права знати свої права й</w:t>
      </w:r>
      <w:r w:rsidR="00817667" w:rsidRPr="00F62456">
        <w:rPr>
          <w:rFonts w:ascii="Times New Roman" w:hAnsi="Times New Roman" w:cs="Times New Roman"/>
          <w:sz w:val="28"/>
          <w:szCs w:val="28"/>
        </w:rPr>
        <w:t xml:space="preserve"> обов’язки. </w:t>
      </w:r>
      <w:r w:rsidR="00582CC9" w:rsidRPr="00F62456">
        <w:rPr>
          <w:rFonts w:ascii="Times New Roman" w:hAnsi="Times New Roman" w:cs="Times New Roman"/>
          <w:sz w:val="28"/>
          <w:szCs w:val="28"/>
        </w:rPr>
        <w:t xml:space="preserve">Також автор клопотання вважає, що </w:t>
      </w:r>
      <w:r w:rsidR="00842D91" w:rsidRPr="00F62456">
        <w:rPr>
          <w:rFonts w:ascii="Times New Roman" w:hAnsi="Times New Roman" w:cs="Times New Roman"/>
          <w:sz w:val="28"/>
          <w:szCs w:val="28"/>
        </w:rPr>
        <w:t>приписи пункту 2 статті</w:t>
      </w:r>
      <w:r w:rsidR="00582CC9" w:rsidRPr="00F62456">
        <w:rPr>
          <w:rFonts w:ascii="Times New Roman" w:hAnsi="Times New Roman" w:cs="Times New Roman"/>
          <w:sz w:val="28"/>
          <w:szCs w:val="28"/>
        </w:rPr>
        <w:t xml:space="preserve"> 278, </w:t>
      </w:r>
      <w:r w:rsidR="00185FE9" w:rsidRPr="00F62456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582CC9" w:rsidRPr="00F62456">
        <w:rPr>
          <w:rFonts w:ascii="Times New Roman" w:hAnsi="Times New Roman" w:cs="Times New Roman"/>
          <w:sz w:val="28"/>
          <w:szCs w:val="28"/>
        </w:rPr>
        <w:t xml:space="preserve">280 Кодексу суперечать Основному Закону України, </w:t>
      </w:r>
      <w:r w:rsidR="005C1F2C" w:rsidRPr="00F62456">
        <w:rPr>
          <w:rFonts w:ascii="Times New Roman" w:hAnsi="Times New Roman" w:cs="Times New Roman"/>
          <w:sz w:val="28"/>
          <w:szCs w:val="28"/>
        </w:rPr>
        <w:t>оскільки</w:t>
      </w:r>
      <w:r w:rsidR="00611AF7" w:rsidRPr="00F62456">
        <w:rPr>
          <w:rFonts w:ascii="Times New Roman" w:hAnsi="Times New Roman" w:cs="Times New Roman"/>
          <w:sz w:val="28"/>
          <w:szCs w:val="28"/>
        </w:rPr>
        <w:t xml:space="preserve"> уможливлюють ухвалення судом </w:t>
      </w:r>
      <w:r w:rsidR="005C1F2C" w:rsidRPr="00F62456">
        <w:rPr>
          <w:rFonts w:ascii="Times New Roman" w:hAnsi="Times New Roman" w:cs="Times New Roman"/>
          <w:sz w:val="28"/>
          <w:szCs w:val="28"/>
        </w:rPr>
        <w:t>і</w:t>
      </w:r>
      <w:r w:rsidR="00611AF7" w:rsidRPr="00F62456">
        <w:rPr>
          <w:rFonts w:ascii="Times New Roman" w:hAnsi="Times New Roman" w:cs="Times New Roman"/>
          <w:sz w:val="28"/>
          <w:szCs w:val="28"/>
        </w:rPr>
        <w:t>з власної ініціативи рішення про повернення протоколу про адміністративне правопорушення</w:t>
      </w:r>
      <w:r w:rsidR="00D84F5E" w:rsidRPr="00F62456">
        <w:rPr>
          <w:rFonts w:ascii="Times New Roman" w:hAnsi="Times New Roman" w:cs="Times New Roman"/>
          <w:sz w:val="28"/>
          <w:szCs w:val="28"/>
        </w:rPr>
        <w:t xml:space="preserve"> на доопрацювання до органу </w:t>
      </w:r>
      <w:r w:rsidR="00040675" w:rsidRPr="00F62456">
        <w:rPr>
          <w:rFonts w:ascii="Times New Roman" w:hAnsi="Times New Roman" w:cs="Times New Roman"/>
          <w:sz w:val="28"/>
          <w:szCs w:val="28"/>
        </w:rPr>
        <w:t>(</w:t>
      </w:r>
      <w:r w:rsidR="00D84F5E" w:rsidRPr="00F62456">
        <w:rPr>
          <w:rFonts w:ascii="Times New Roman" w:hAnsi="Times New Roman" w:cs="Times New Roman"/>
          <w:sz w:val="28"/>
          <w:szCs w:val="28"/>
        </w:rPr>
        <w:t>посадової особи</w:t>
      </w:r>
      <w:r w:rsidR="00040675" w:rsidRPr="00F62456">
        <w:rPr>
          <w:rFonts w:ascii="Times New Roman" w:hAnsi="Times New Roman" w:cs="Times New Roman"/>
          <w:sz w:val="28"/>
          <w:szCs w:val="28"/>
        </w:rPr>
        <w:t>)</w:t>
      </w:r>
      <w:r w:rsidR="00D84F5E" w:rsidRPr="00F62456">
        <w:rPr>
          <w:rFonts w:ascii="Times New Roman" w:hAnsi="Times New Roman" w:cs="Times New Roman"/>
          <w:sz w:val="28"/>
          <w:szCs w:val="28"/>
        </w:rPr>
        <w:t>, що його</w:t>
      </w:r>
      <w:r w:rsidR="00040675" w:rsidRPr="00F62456">
        <w:rPr>
          <w:rFonts w:ascii="Times New Roman" w:hAnsi="Times New Roman" w:cs="Times New Roman"/>
          <w:sz w:val="28"/>
          <w:szCs w:val="28"/>
        </w:rPr>
        <w:t xml:space="preserve"> склав</w:t>
      </w:r>
      <w:r w:rsidR="00D84F5E" w:rsidRPr="00F62456">
        <w:rPr>
          <w:rFonts w:ascii="Times New Roman" w:hAnsi="Times New Roman" w:cs="Times New Roman"/>
          <w:sz w:val="28"/>
          <w:szCs w:val="28"/>
        </w:rPr>
        <w:t xml:space="preserve"> </w:t>
      </w:r>
      <w:r w:rsidR="00040675" w:rsidRPr="00F62456">
        <w:rPr>
          <w:rFonts w:ascii="Times New Roman" w:hAnsi="Times New Roman" w:cs="Times New Roman"/>
          <w:sz w:val="28"/>
          <w:szCs w:val="28"/>
        </w:rPr>
        <w:t>(</w:t>
      </w:r>
      <w:r w:rsidR="00D84F5E" w:rsidRPr="00F62456">
        <w:rPr>
          <w:rFonts w:ascii="Times New Roman" w:hAnsi="Times New Roman" w:cs="Times New Roman"/>
          <w:sz w:val="28"/>
          <w:szCs w:val="28"/>
        </w:rPr>
        <w:t>склала</w:t>
      </w:r>
      <w:r w:rsidR="00040675" w:rsidRPr="00F62456">
        <w:rPr>
          <w:rFonts w:ascii="Times New Roman" w:hAnsi="Times New Roman" w:cs="Times New Roman"/>
          <w:sz w:val="28"/>
          <w:szCs w:val="28"/>
        </w:rPr>
        <w:t>)</w:t>
      </w:r>
      <w:r w:rsidR="00D84F5E" w:rsidRPr="00F62456">
        <w:rPr>
          <w:rFonts w:ascii="Times New Roman" w:hAnsi="Times New Roman" w:cs="Times New Roman"/>
          <w:sz w:val="28"/>
          <w:szCs w:val="28"/>
        </w:rPr>
        <w:t>.</w:t>
      </w:r>
    </w:p>
    <w:p w:rsidR="00F51AE5" w:rsidRPr="00F62456" w:rsidRDefault="00F51AE5" w:rsidP="00F62456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AE5" w:rsidRPr="00F62456" w:rsidRDefault="00F51AE5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Розв’язуючи питання щодо відкриття конституційного провадження </w:t>
      </w:r>
      <w:r w:rsidR="000F7436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справі, Перша колегія суддів Першого сенату Конституційного Суду України виходить із такого.</w:t>
      </w:r>
    </w:p>
    <w:p w:rsidR="00F51AE5" w:rsidRPr="00F62456" w:rsidRDefault="00F51AE5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обґрунтування тверджень щодо неконституційност</w:t>
      </w:r>
      <w:r w:rsidR="000F7436"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закону України (його окремих приписів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</w:t>
      </w:r>
      <w:r w:rsidR="00224346"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прийнятною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AB26B6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зокрема, </w:t>
      </w:r>
      <w:r w:rsid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 55 цього закону</w:t>
      </w:r>
      <w:r w:rsid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8E37AA" w:rsidRPr="00F62456" w:rsidRDefault="000849F3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</w:t>
      </w:r>
      <w:r w:rsidR="00F540D4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наліз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40D4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FE9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конституційної скарги випливає, що постанов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5FE9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Волинського апеляційного суду від 10 січня 2024 року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73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є остаточним судовим рішенням у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справі Дмитришина Л.І. у</w:t>
      </w:r>
      <w:r w:rsidR="0083773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розумінні вимог частини першої статті 55,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частини першої статті 56, </w:t>
      </w:r>
      <w:r w:rsidR="0083773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 першої статті 77 Закону України „Про Конституційний Суд України“, оскільки розгляд справи по суті не завершено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</w:t>
      </w:r>
      <w:r w:rsidR="00D72BC3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r w:rsidR="00D72BC3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83773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застосовано лише частину другу статті 185</w:t>
      </w:r>
      <w:r w:rsidR="00837735" w:rsidRPr="00F624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="0083773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Кодексу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4CE2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Частин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4CE2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4CE2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статті 185</w:t>
      </w:r>
      <w:r w:rsidR="007C4CE2" w:rsidRPr="00F624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="007C4CE2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Кодексу</w:t>
      </w:r>
      <w:r w:rsidR="007C4CE2" w:rsidRPr="00F624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7C4CE2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застосова</w:t>
      </w:r>
      <w:r w:rsidR="008E37A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37A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судових рішеннях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справі</w:t>
      </w:r>
      <w:r w:rsidR="008E37A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Дмитришина Л.І.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отже, він</w:t>
      </w:r>
      <w:r w:rsidR="008E37A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D7D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помилково визначив </w:t>
      </w:r>
      <w:r w:rsidR="00AE5C60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 першу статті</w:t>
      </w:r>
      <w:r w:rsidR="00004D7D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</w:t>
      </w:r>
      <w:r w:rsidR="00004D7D" w:rsidRPr="00F624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="00004D7D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Кодексу</w:t>
      </w:r>
      <w:r w:rsidR="00AE5C60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предмет 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r w:rsidR="00AE5C60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5C60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Конституційно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E5C60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AE5C60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України.</w:t>
      </w:r>
    </w:p>
    <w:p w:rsidR="00C07AD1" w:rsidRPr="00F62456" w:rsidRDefault="00AC6963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 Дмитришин Л.І. </w:t>
      </w:r>
      <w:r w:rsidR="004360A8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є суб’єктом права на конституційну скаргу </w:t>
      </w:r>
      <w:r w:rsidR="00A861D4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частині</w:t>
      </w:r>
      <w:r w:rsidR="004360A8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відповідності Конституції України</w:t>
      </w:r>
      <w:r w:rsidR="00536F7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(конституційності)</w:t>
      </w:r>
      <w:r w:rsidR="00AC660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A8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 185</w:t>
      </w:r>
      <w:r w:rsidR="004360A8" w:rsidRPr="00F624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="004360A8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2C0C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одексу</w:t>
      </w:r>
      <w:r w:rsidR="00C07AD1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є підставою для відмови у відкритті конституційного провадження в</w:t>
      </w:r>
      <w:r w:rsidR="00CB2C0C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цій</w:t>
      </w:r>
      <w:r w:rsidR="00C07AD1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частині згідно з </w:t>
      </w:r>
      <w:r w:rsidR="00CB2C0C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</w:t>
      </w:r>
      <w:r w:rsidR="00C07AD1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статті 6</w:t>
      </w:r>
      <w:r w:rsidR="00CB2C0C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45DF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5DF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„Про Конституційний Суд</w:t>
      </w:r>
      <w:r w:rsidR="008377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F945DF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України“ </w:t>
      </w:r>
      <w:r w:rsidR="00CB2C0C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звернення до Конституційного Суду України неналежним суб’єктом</w:t>
      </w:r>
      <w:r w:rsidR="00C07AD1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AE5" w:rsidRPr="00F62456" w:rsidRDefault="00C83FC9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 змісту</w:t>
      </w:r>
      <w:r w:rsidR="00070F1F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E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конституційної </w:t>
      </w:r>
      <w:r w:rsidR="00070F1F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скарги </w:t>
      </w:r>
      <w:r w:rsidR="00B40FB1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1AE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бачається, що автор клопотання</w:t>
      </w:r>
      <w:r w:rsidR="00AE07F1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5F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висловив незгоду з постановою Волинського</w:t>
      </w:r>
      <w:r w:rsid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апеляційного суду від 10 січня</w:t>
      </w:r>
      <w:r w:rsid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55F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року, ухваленою</w:t>
      </w:r>
      <w:r w:rsidR="002F574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51AE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 справі</w:t>
      </w:r>
      <w:r w:rsidR="00AB26B6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282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0AC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1AE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 </w:t>
      </w:r>
      <w:r w:rsidR="002F574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F51AE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A1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можна</w:t>
      </w:r>
      <w:r w:rsidR="00F51AE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A1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r w:rsidR="00F51AE5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належним обґрунтування</w:t>
      </w:r>
      <w:r w:rsidR="00A66979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865A1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тверджень щодо </w:t>
      </w:r>
      <w:r w:rsidR="00A66979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неконституційності </w:t>
      </w:r>
      <w:r w:rsidRPr="00F62456">
        <w:rPr>
          <w:rFonts w:ascii="Times New Roman" w:hAnsi="Times New Roman" w:cs="Times New Roman"/>
          <w:bCs/>
          <w:sz w:val="28"/>
          <w:szCs w:val="28"/>
        </w:rPr>
        <w:t>пункту 2 статті 278,</w:t>
      </w:r>
      <w:r w:rsidR="00F62456">
        <w:rPr>
          <w:rFonts w:ascii="Times New Roman" w:hAnsi="Times New Roman" w:cs="Times New Roman"/>
          <w:bCs/>
          <w:sz w:val="28"/>
          <w:szCs w:val="28"/>
        </w:rPr>
        <w:br/>
      </w:r>
      <w:r w:rsidRPr="00F62456">
        <w:rPr>
          <w:rFonts w:ascii="Times New Roman" w:hAnsi="Times New Roman" w:cs="Times New Roman"/>
          <w:bCs/>
          <w:sz w:val="28"/>
          <w:szCs w:val="28"/>
        </w:rPr>
        <w:t xml:space="preserve">статті 280 </w:t>
      </w:r>
      <w:r w:rsidRPr="00F62456">
        <w:rPr>
          <w:rFonts w:ascii="Times New Roman" w:hAnsi="Times New Roman" w:cs="Times New Roman"/>
          <w:sz w:val="28"/>
          <w:szCs w:val="28"/>
        </w:rPr>
        <w:t>Кодексу</w:t>
      </w:r>
      <w:r w:rsidR="00591B43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AE5" w:rsidRPr="00F62456" w:rsidRDefault="00F51AE5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</w:t>
      </w:r>
      <w:r w:rsidR="000F1283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Дмитришин Л.І. 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дотримав вимог пункту 6 частини другої статті 55 Закону України 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</w:t>
      </w:r>
      <w:r w:rsidR="00E4184A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частині </w:t>
      </w:r>
      <w:r w:rsidR="00E15AC2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відповідності Конституції України (конституційності) </w:t>
      </w:r>
      <w:r w:rsidR="00E15AC2" w:rsidRPr="00F62456">
        <w:rPr>
          <w:rFonts w:ascii="Times New Roman" w:hAnsi="Times New Roman" w:cs="Times New Roman"/>
          <w:bCs/>
          <w:sz w:val="28"/>
          <w:szCs w:val="28"/>
        </w:rPr>
        <w:t xml:space="preserve">пункту 2 статті 278, статті 280 </w:t>
      </w:r>
      <w:r w:rsidR="00E15AC2" w:rsidRPr="00F62456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E15AC2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з 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 статті 62</w:t>
      </w:r>
      <w:r w:rsidR="00F945DF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5DF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„Про Конституційний Суд України“ 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неприйнятність конституційної скарги.</w:t>
      </w:r>
    </w:p>
    <w:p w:rsidR="00F51AE5" w:rsidRPr="00F62456" w:rsidRDefault="00F51AE5" w:rsidP="00F62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1AE5" w:rsidRPr="00F62456" w:rsidRDefault="00F51AE5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4E4382" w:rsidRPr="00F62456" w:rsidRDefault="004E4382" w:rsidP="00F624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F62456" w:rsidRDefault="00F51AE5" w:rsidP="00F62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F51AE5" w:rsidRPr="00F62456" w:rsidRDefault="00F51AE5" w:rsidP="00F624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Default="00F51AE5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конституційною </w:t>
      </w:r>
      <w:r w:rsidR="009E20AC"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скаргою </w:t>
      </w:r>
      <w:r w:rsidR="009E20AC" w:rsidRPr="00F62456">
        <w:rPr>
          <w:rFonts w:ascii="Times New Roman" w:hAnsi="Times New Roman" w:cs="Times New Roman"/>
          <w:sz w:val="28"/>
          <w:szCs w:val="28"/>
        </w:rPr>
        <w:t>Дмитришина Любомира Ігоровича щодо відповідності Конституції України (конституційності) статті 185</w:t>
      </w:r>
      <w:r w:rsidR="009E20AC" w:rsidRPr="00F624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797B" w:rsidRPr="00F6245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797B" w:rsidRPr="00F62456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4C797B" w:rsidRPr="00F62456">
        <w:rPr>
          <w:rFonts w:ascii="Times New Roman" w:hAnsi="Times New Roman" w:cs="Times New Roman"/>
          <w:sz w:val="28"/>
          <w:szCs w:val="28"/>
        </w:rPr>
        <w:lastRenderedPageBreak/>
        <w:t xml:space="preserve">України про адміністративні правопорушення </w:t>
      </w:r>
      <w:r w:rsidR="004C797B"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пункту 1 статті 62 Закону України „Про Конституційний Суд України“ –</w:t>
      </w:r>
      <w:r w:rsidR="004C797B" w:rsidRPr="00F6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7B" w:rsidRPr="00F6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звернення до Конституційного Суду України неналежним суб’єктом; </w:t>
      </w:r>
      <w:r w:rsidR="009E20AC" w:rsidRPr="00F62456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2246F2" w:rsidRPr="00F62456">
        <w:rPr>
          <w:rFonts w:ascii="Times New Roman" w:hAnsi="Times New Roman" w:cs="Times New Roman"/>
          <w:sz w:val="28"/>
          <w:szCs w:val="28"/>
        </w:rPr>
        <w:t>2</w:t>
      </w:r>
      <w:r w:rsidR="009E20AC" w:rsidRPr="00F62456">
        <w:rPr>
          <w:rFonts w:ascii="Times New Roman" w:hAnsi="Times New Roman" w:cs="Times New Roman"/>
          <w:sz w:val="28"/>
          <w:szCs w:val="28"/>
        </w:rPr>
        <w:t xml:space="preserve"> статті 278, статті 280 Кодексу України про адміністративні правопорушення </w:t>
      </w:r>
      <w:r w:rsidR="00DC1EFF"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пункту</w:t>
      </w: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статті 62 Закону України „Про Конституційний Суд України“ –неприйнятність конституційної скарги.</w:t>
      </w:r>
    </w:p>
    <w:p w:rsidR="00F62456" w:rsidRPr="00F62456" w:rsidRDefault="00F62456" w:rsidP="00F62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E5" w:rsidRDefault="00F51AE5" w:rsidP="00F624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Ухвала є остаточною.</w:t>
      </w:r>
    </w:p>
    <w:p w:rsidR="00F62456" w:rsidRDefault="00F62456" w:rsidP="00F624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56" w:rsidRDefault="00F62456" w:rsidP="00F624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F1" w:rsidRPr="00A340D8" w:rsidRDefault="00CB69F1" w:rsidP="00CB69F1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5" w:name="_GoBack"/>
      <w:r w:rsidRPr="00A340D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Перша колегія суддів</w:t>
      </w:r>
    </w:p>
    <w:p w:rsidR="00CB69F1" w:rsidRPr="00A340D8" w:rsidRDefault="00CB69F1" w:rsidP="00CB69F1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340D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Першого сенату</w:t>
      </w:r>
    </w:p>
    <w:p w:rsidR="00F62456" w:rsidRPr="00F62456" w:rsidRDefault="00CB69F1" w:rsidP="00CB69F1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Конституційного Суду України</w:t>
      </w:r>
      <w:bookmarkEnd w:id="5"/>
    </w:p>
    <w:sectPr w:rsidR="00F62456" w:rsidRPr="00F62456" w:rsidSect="00F62456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23" w:rsidRDefault="00D06F23">
      <w:pPr>
        <w:spacing w:after="0" w:line="240" w:lineRule="auto"/>
      </w:pPr>
      <w:r>
        <w:separator/>
      </w:r>
    </w:p>
  </w:endnote>
  <w:endnote w:type="continuationSeparator" w:id="0">
    <w:p w:rsidR="00D06F23" w:rsidRDefault="00D0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6" w:rsidRPr="00F62456" w:rsidRDefault="00F62456">
    <w:pPr>
      <w:pStyle w:val="a5"/>
      <w:rPr>
        <w:sz w:val="10"/>
        <w:szCs w:val="10"/>
      </w:rPr>
    </w:pPr>
    <w:r w:rsidRPr="00F62456">
      <w:rPr>
        <w:sz w:val="10"/>
        <w:szCs w:val="10"/>
      </w:rPr>
      <w:fldChar w:fldCharType="begin"/>
    </w:r>
    <w:r w:rsidRPr="00F62456">
      <w:rPr>
        <w:sz w:val="10"/>
        <w:szCs w:val="10"/>
      </w:rPr>
      <w:instrText xml:space="preserve"> FILENAME \p \* MERGEFORMAT </w:instrText>
    </w:r>
    <w:r w:rsidRPr="00F62456">
      <w:rPr>
        <w:sz w:val="10"/>
        <w:szCs w:val="10"/>
      </w:rPr>
      <w:fldChar w:fldCharType="separate"/>
    </w:r>
    <w:r w:rsidR="00CB69F1">
      <w:rPr>
        <w:noProof/>
        <w:sz w:val="10"/>
        <w:szCs w:val="10"/>
      </w:rPr>
      <w:t>G:\2024\Suddi\I senat\I koleg\11.docx</w:t>
    </w:r>
    <w:r w:rsidRPr="00F6245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6" w:rsidRPr="00F62456" w:rsidRDefault="00F62456">
    <w:pPr>
      <w:pStyle w:val="a5"/>
      <w:rPr>
        <w:sz w:val="10"/>
        <w:szCs w:val="10"/>
      </w:rPr>
    </w:pPr>
    <w:r w:rsidRPr="00F62456">
      <w:rPr>
        <w:sz w:val="10"/>
        <w:szCs w:val="10"/>
      </w:rPr>
      <w:fldChar w:fldCharType="begin"/>
    </w:r>
    <w:r w:rsidRPr="00F62456">
      <w:rPr>
        <w:sz w:val="10"/>
        <w:szCs w:val="10"/>
      </w:rPr>
      <w:instrText xml:space="preserve"> FILENAME \p \* MERGEFORMAT </w:instrText>
    </w:r>
    <w:r w:rsidRPr="00F62456">
      <w:rPr>
        <w:sz w:val="10"/>
        <w:szCs w:val="10"/>
      </w:rPr>
      <w:fldChar w:fldCharType="separate"/>
    </w:r>
    <w:r w:rsidR="00CB69F1">
      <w:rPr>
        <w:noProof/>
        <w:sz w:val="10"/>
        <w:szCs w:val="10"/>
      </w:rPr>
      <w:t>G:\2024\Suddi\I senat\I koleg\11.docx</w:t>
    </w:r>
    <w:r w:rsidRPr="00F6245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23" w:rsidRDefault="00D06F23">
      <w:pPr>
        <w:spacing w:after="0" w:line="240" w:lineRule="auto"/>
      </w:pPr>
      <w:r>
        <w:separator/>
      </w:r>
    </w:p>
  </w:footnote>
  <w:footnote w:type="continuationSeparator" w:id="0">
    <w:p w:rsidR="00D06F23" w:rsidRDefault="00D0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2009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2456" w:rsidRPr="00F62456" w:rsidRDefault="00F62456">
        <w:pPr>
          <w:pStyle w:val="a3"/>
          <w:jc w:val="center"/>
          <w:rPr>
            <w:sz w:val="28"/>
            <w:szCs w:val="28"/>
          </w:rPr>
        </w:pPr>
        <w:r w:rsidRPr="00F62456">
          <w:rPr>
            <w:sz w:val="28"/>
            <w:szCs w:val="28"/>
          </w:rPr>
          <w:fldChar w:fldCharType="begin"/>
        </w:r>
        <w:r w:rsidRPr="00F62456">
          <w:rPr>
            <w:sz w:val="28"/>
            <w:szCs w:val="28"/>
          </w:rPr>
          <w:instrText>PAGE   \* MERGEFORMAT</w:instrText>
        </w:r>
        <w:r w:rsidRPr="00F62456">
          <w:rPr>
            <w:sz w:val="28"/>
            <w:szCs w:val="28"/>
          </w:rPr>
          <w:fldChar w:fldCharType="separate"/>
        </w:r>
        <w:r w:rsidR="00CB69F1">
          <w:rPr>
            <w:noProof/>
            <w:sz w:val="28"/>
            <w:szCs w:val="28"/>
          </w:rPr>
          <w:t>5</w:t>
        </w:r>
        <w:r w:rsidRPr="00F6245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04D7D"/>
    <w:rsid w:val="000107E1"/>
    <w:rsid w:val="00024360"/>
    <w:rsid w:val="00040675"/>
    <w:rsid w:val="000564BE"/>
    <w:rsid w:val="00057621"/>
    <w:rsid w:val="00064E72"/>
    <w:rsid w:val="00070F1F"/>
    <w:rsid w:val="000849F3"/>
    <w:rsid w:val="000B7A88"/>
    <w:rsid w:val="000C5F6E"/>
    <w:rsid w:val="000E60EA"/>
    <w:rsid w:val="000F1283"/>
    <w:rsid w:val="000F7436"/>
    <w:rsid w:val="0010439C"/>
    <w:rsid w:val="001203AE"/>
    <w:rsid w:val="0013113E"/>
    <w:rsid w:val="00171E9C"/>
    <w:rsid w:val="00185FE9"/>
    <w:rsid w:val="001F086F"/>
    <w:rsid w:val="00203415"/>
    <w:rsid w:val="00224346"/>
    <w:rsid w:val="002246F2"/>
    <w:rsid w:val="002325F6"/>
    <w:rsid w:val="00250F9F"/>
    <w:rsid w:val="00264D98"/>
    <w:rsid w:val="00270ECE"/>
    <w:rsid w:val="002F1AF9"/>
    <w:rsid w:val="002F574A"/>
    <w:rsid w:val="003255F5"/>
    <w:rsid w:val="003337C3"/>
    <w:rsid w:val="003603AC"/>
    <w:rsid w:val="00375E5E"/>
    <w:rsid w:val="00385261"/>
    <w:rsid w:val="003C445F"/>
    <w:rsid w:val="00401D65"/>
    <w:rsid w:val="00432825"/>
    <w:rsid w:val="004360A8"/>
    <w:rsid w:val="00440874"/>
    <w:rsid w:val="004A16E3"/>
    <w:rsid w:val="004A5E54"/>
    <w:rsid w:val="004B57B7"/>
    <w:rsid w:val="004C797B"/>
    <w:rsid w:val="004E4382"/>
    <w:rsid w:val="0051159C"/>
    <w:rsid w:val="00536F75"/>
    <w:rsid w:val="00564134"/>
    <w:rsid w:val="00574C4B"/>
    <w:rsid w:val="00582CC9"/>
    <w:rsid w:val="005845E1"/>
    <w:rsid w:val="00591B43"/>
    <w:rsid w:val="005C1F2C"/>
    <w:rsid w:val="005F7D35"/>
    <w:rsid w:val="00605796"/>
    <w:rsid w:val="00611AF7"/>
    <w:rsid w:val="00617E40"/>
    <w:rsid w:val="00620B15"/>
    <w:rsid w:val="00672492"/>
    <w:rsid w:val="006F316E"/>
    <w:rsid w:val="006F3471"/>
    <w:rsid w:val="00726FB3"/>
    <w:rsid w:val="00727DBB"/>
    <w:rsid w:val="007304E7"/>
    <w:rsid w:val="00734B48"/>
    <w:rsid w:val="007435AB"/>
    <w:rsid w:val="0074444E"/>
    <w:rsid w:val="0076278F"/>
    <w:rsid w:val="00765799"/>
    <w:rsid w:val="00777EF4"/>
    <w:rsid w:val="00783AFE"/>
    <w:rsid w:val="00793C63"/>
    <w:rsid w:val="00796CAB"/>
    <w:rsid w:val="007A1EE8"/>
    <w:rsid w:val="007B0417"/>
    <w:rsid w:val="007C4CE2"/>
    <w:rsid w:val="00817667"/>
    <w:rsid w:val="00833DEE"/>
    <w:rsid w:val="00837735"/>
    <w:rsid w:val="00842D91"/>
    <w:rsid w:val="00865A1A"/>
    <w:rsid w:val="008A230E"/>
    <w:rsid w:val="008D1163"/>
    <w:rsid w:val="008E37AA"/>
    <w:rsid w:val="008F68E8"/>
    <w:rsid w:val="0095714D"/>
    <w:rsid w:val="00970C6C"/>
    <w:rsid w:val="009D5FA4"/>
    <w:rsid w:val="009E20AC"/>
    <w:rsid w:val="00A35801"/>
    <w:rsid w:val="00A6514B"/>
    <w:rsid w:val="00A66979"/>
    <w:rsid w:val="00A861D4"/>
    <w:rsid w:val="00AA22F0"/>
    <w:rsid w:val="00AA2DCF"/>
    <w:rsid w:val="00AB26B6"/>
    <w:rsid w:val="00AC6605"/>
    <w:rsid w:val="00AC6963"/>
    <w:rsid w:val="00AC7F3E"/>
    <w:rsid w:val="00AE07F1"/>
    <w:rsid w:val="00AE5C60"/>
    <w:rsid w:val="00B127DA"/>
    <w:rsid w:val="00B346F1"/>
    <w:rsid w:val="00B349D3"/>
    <w:rsid w:val="00B40FB1"/>
    <w:rsid w:val="00B7252F"/>
    <w:rsid w:val="00BE767F"/>
    <w:rsid w:val="00C07AD1"/>
    <w:rsid w:val="00C15582"/>
    <w:rsid w:val="00C83FC9"/>
    <w:rsid w:val="00CB2C0C"/>
    <w:rsid w:val="00CB31D7"/>
    <w:rsid w:val="00CB69F1"/>
    <w:rsid w:val="00CD460D"/>
    <w:rsid w:val="00D0065F"/>
    <w:rsid w:val="00D06F23"/>
    <w:rsid w:val="00D07C16"/>
    <w:rsid w:val="00D72BC3"/>
    <w:rsid w:val="00D740B2"/>
    <w:rsid w:val="00D81109"/>
    <w:rsid w:val="00D84F5E"/>
    <w:rsid w:val="00D91EFA"/>
    <w:rsid w:val="00DB45BB"/>
    <w:rsid w:val="00DC1EFF"/>
    <w:rsid w:val="00E15AC2"/>
    <w:rsid w:val="00E4184A"/>
    <w:rsid w:val="00E64EC9"/>
    <w:rsid w:val="00EB0238"/>
    <w:rsid w:val="00EC3580"/>
    <w:rsid w:val="00F3153B"/>
    <w:rsid w:val="00F41180"/>
    <w:rsid w:val="00F51AE5"/>
    <w:rsid w:val="00F540D4"/>
    <w:rsid w:val="00F57EA1"/>
    <w:rsid w:val="00F62456"/>
    <w:rsid w:val="00F945DF"/>
    <w:rsid w:val="00F97618"/>
    <w:rsid w:val="00FB048B"/>
    <w:rsid w:val="00FC140E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CAEB"/>
  <w15:chartTrackingRefBased/>
  <w15:docId w15:val="{DFB31490-FEC0-41E4-AFE0-9893CB2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456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8F68E8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eastAsia="Calibri" w:hAnsi="Times New Roman" w:cs="Times New Roman"/>
      <w:sz w:val="26"/>
      <w:szCs w:val="26"/>
      <w:lang w:eastAsia="uk-UA"/>
    </w:rPr>
  </w:style>
  <w:style w:type="paragraph" w:customStyle="1" w:styleId="3">
    <w:name w:val="Основной текст (3)"/>
    <w:basedOn w:val="a"/>
    <w:rsid w:val="00793C63"/>
    <w:pPr>
      <w:widowControl w:val="0"/>
      <w:shd w:val="clear" w:color="000000" w:fill="FFFFFF"/>
      <w:spacing w:after="0" w:line="322" w:lineRule="exact"/>
      <w:jc w:val="center"/>
    </w:pPr>
    <w:rPr>
      <w:rFonts w:ascii="Times New Roman" w:eastAsia="Calibri" w:hAnsi="Times New Roman" w:cs="Times New Roman"/>
      <w:b/>
      <w:sz w:val="26"/>
      <w:szCs w:val="26"/>
      <w:lang w:eastAsia="uk-UA"/>
    </w:rPr>
  </w:style>
  <w:style w:type="character" w:styleId="a7">
    <w:name w:val="Hyperlink"/>
    <w:semiHidden/>
    <w:rsid w:val="00793C6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C4CE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624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24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0732-1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2-1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4986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2024-02-22T08:18:00Z</cp:lastPrinted>
  <dcterms:created xsi:type="dcterms:W3CDTF">2024-02-21T10:33:00Z</dcterms:created>
  <dcterms:modified xsi:type="dcterms:W3CDTF">2024-02-22T08:18:00Z</dcterms:modified>
</cp:coreProperties>
</file>