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F6871" w:rsidRDefault="001F6871" w:rsidP="001F6871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95206" w:rsidRPr="00D409C4" w:rsidRDefault="00AE7F65" w:rsidP="001F6871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1F6871">
        <w:rPr>
          <w:szCs w:val="28"/>
        </w:rPr>
        <w:br/>
      </w:r>
      <w:r w:rsidR="001F6871" w:rsidRPr="001F6871">
        <w:rPr>
          <w:szCs w:val="28"/>
        </w:rPr>
        <w:tab/>
      </w:r>
      <w:r w:rsidR="001F6871">
        <w:rPr>
          <w:szCs w:val="28"/>
        </w:rPr>
        <w:tab/>
      </w:r>
      <w:r w:rsidR="001F6871">
        <w:rPr>
          <w:szCs w:val="28"/>
        </w:rPr>
        <w:tab/>
      </w:r>
      <w:r w:rsidR="001F6871">
        <w:rPr>
          <w:szCs w:val="28"/>
        </w:rPr>
        <w:tab/>
      </w:r>
      <w:r w:rsidR="001F6871" w:rsidRPr="001F6871">
        <w:rPr>
          <w:szCs w:val="28"/>
        </w:rPr>
        <w:t xml:space="preserve">   </w:t>
      </w:r>
      <w:r w:rsidR="00D95206" w:rsidRPr="00D95206">
        <w:rPr>
          <w:szCs w:val="28"/>
        </w:rPr>
        <w:t>інших органів“</w:t>
      </w:r>
    </w:p>
    <w:p w:rsidR="00575657" w:rsidRDefault="00575657" w:rsidP="001F6871">
      <w:pPr>
        <w:pStyle w:val="a4"/>
        <w:spacing w:line="360" w:lineRule="auto"/>
        <w:ind w:left="700" w:right="674" w:firstLine="0"/>
        <w:rPr>
          <w:szCs w:val="28"/>
        </w:rPr>
      </w:pPr>
    </w:p>
    <w:p w:rsidR="00972A73" w:rsidRPr="004D482B" w:rsidRDefault="00EE3217" w:rsidP="001F6871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482B">
        <w:rPr>
          <w:rFonts w:ascii="Times New Roman" w:hAnsi="Times New Roman"/>
          <w:sz w:val="28"/>
          <w:szCs w:val="28"/>
        </w:rPr>
        <w:t>. К и ї в</w:t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="001F6871" w:rsidRPr="001F687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95206" w:rsidRPr="004D482B">
        <w:rPr>
          <w:rFonts w:ascii="Times New Roman" w:hAnsi="Times New Roman"/>
          <w:sz w:val="28"/>
          <w:szCs w:val="28"/>
        </w:rPr>
        <w:t>Справа № 3-95/2021(218/21)</w:t>
      </w:r>
    </w:p>
    <w:p w:rsidR="00EE3217" w:rsidRPr="004D482B" w:rsidRDefault="00A27C0F" w:rsidP="001F6871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D482B" w:rsidRPr="004D482B">
        <w:rPr>
          <w:rFonts w:ascii="Times New Roman" w:hAnsi="Times New Roman"/>
          <w:sz w:val="28"/>
          <w:szCs w:val="28"/>
        </w:rPr>
        <w:t xml:space="preserve"> липня</w:t>
      </w:r>
      <w:r w:rsidR="00DD764A" w:rsidRPr="004D482B">
        <w:rPr>
          <w:rFonts w:ascii="Times New Roman" w:hAnsi="Times New Roman"/>
          <w:sz w:val="28"/>
          <w:szCs w:val="28"/>
        </w:rPr>
        <w:t xml:space="preserve"> 202</w:t>
      </w:r>
      <w:r w:rsidR="00A4528E" w:rsidRPr="004D482B">
        <w:rPr>
          <w:rFonts w:ascii="Times New Roman" w:hAnsi="Times New Roman"/>
          <w:sz w:val="28"/>
          <w:szCs w:val="28"/>
        </w:rPr>
        <w:t>2</w:t>
      </w:r>
      <w:r w:rsidR="00EE3217" w:rsidRPr="004D482B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4D482B" w:rsidRDefault="00EE3217" w:rsidP="001F6871">
      <w:pPr>
        <w:widowControl/>
        <w:rPr>
          <w:rFonts w:ascii="Times New Roman" w:hAnsi="Times New Roman"/>
          <w:sz w:val="28"/>
          <w:szCs w:val="28"/>
        </w:rPr>
      </w:pPr>
      <w:r w:rsidRPr="004D482B">
        <w:rPr>
          <w:rFonts w:ascii="Times New Roman" w:hAnsi="Times New Roman"/>
          <w:sz w:val="28"/>
          <w:szCs w:val="28"/>
        </w:rPr>
        <w:t>№</w:t>
      </w:r>
      <w:r w:rsidR="0089079C" w:rsidRPr="004D482B">
        <w:rPr>
          <w:rFonts w:ascii="Times New Roman" w:hAnsi="Times New Roman"/>
          <w:sz w:val="28"/>
          <w:szCs w:val="28"/>
        </w:rPr>
        <w:t xml:space="preserve"> </w:t>
      </w:r>
      <w:r w:rsidR="005A5AE2">
        <w:rPr>
          <w:rFonts w:ascii="Times New Roman" w:hAnsi="Times New Roman"/>
          <w:sz w:val="28"/>
          <w:szCs w:val="28"/>
        </w:rPr>
        <w:t>364</w:t>
      </w:r>
      <w:r w:rsidR="00545C00" w:rsidRPr="004D482B">
        <w:rPr>
          <w:rFonts w:ascii="Times New Roman" w:hAnsi="Times New Roman"/>
          <w:sz w:val="28"/>
          <w:szCs w:val="28"/>
        </w:rPr>
        <w:t>-у/20</w:t>
      </w:r>
      <w:r w:rsidR="005B4A5D" w:rsidRPr="004D482B">
        <w:rPr>
          <w:rFonts w:ascii="Times New Roman" w:hAnsi="Times New Roman"/>
          <w:sz w:val="28"/>
          <w:szCs w:val="28"/>
        </w:rPr>
        <w:t>2</w:t>
      </w:r>
      <w:r w:rsidR="00A4528E" w:rsidRPr="004D482B">
        <w:rPr>
          <w:rFonts w:ascii="Times New Roman" w:hAnsi="Times New Roman"/>
          <w:sz w:val="28"/>
          <w:szCs w:val="28"/>
        </w:rPr>
        <w:t>2</w:t>
      </w:r>
    </w:p>
    <w:p w:rsidR="00EE3217" w:rsidRPr="004D482B" w:rsidRDefault="00EE3217" w:rsidP="001F6871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1F68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9079C" w:rsidRDefault="0089079C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701D3" w:rsidRDefault="00F701D3" w:rsidP="001F68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1F68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F6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F68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від 6 липня 2021 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>
        <w:rPr>
          <w:rFonts w:ascii="Times New Roman" w:hAnsi="Times New Roman" w:cs="Times New Roman"/>
          <w:sz w:val="28"/>
          <w:szCs w:val="28"/>
        </w:rPr>
        <w:br/>
        <w:t xml:space="preserve">2022 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року № 3-у/2022 подовжила до 18 лютого 2022 року, від 17 лютого </w:t>
      </w:r>
      <w:r w:rsidR="00567746">
        <w:rPr>
          <w:rFonts w:ascii="Times New Roman" w:hAnsi="Times New Roman" w:cs="Times New Roman"/>
          <w:sz w:val="28"/>
          <w:szCs w:val="28"/>
        </w:rPr>
        <w:br/>
      </w:r>
      <w:r w:rsidR="00567746" w:rsidRPr="00567746">
        <w:rPr>
          <w:rFonts w:ascii="Times New Roman" w:hAnsi="Times New Roman" w:cs="Times New Roman"/>
          <w:sz w:val="28"/>
          <w:szCs w:val="28"/>
        </w:rPr>
        <w:t>2022 року № 82-у/2022 подовжила до 22 березня 2022 року</w:t>
      </w:r>
      <w:r w:rsidR="007C59BA">
        <w:rPr>
          <w:rFonts w:ascii="Times New Roman" w:hAnsi="Times New Roman" w:cs="Times New Roman"/>
          <w:sz w:val="28"/>
          <w:szCs w:val="28"/>
        </w:rPr>
        <w:t xml:space="preserve">, </w:t>
      </w:r>
      <w:r w:rsidR="007C59BA" w:rsidRPr="007C59BA">
        <w:rPr>
          <w:rFonts w:ascii="Times New Roman" w:hAnsi="Times New Roman" w:cs="Times New Roman"/>
          <w:sz w:val="28"/>
          <w:szCs w:val="28"/>
        </w:rPr>
        <w:t>від 5 квітня 2022 року № 182-у/2022 подовжила до 19 травня 2022 року</w:t>
      </w:r>
      <w:r w:rsidR="0089079C">
        <w:rPr>
          <w:rFonts w:ascii="Times New Roman" w:hAnsi="Times New Roman" w:cs="Times New Roman"/>
          <w:sz w:val="28"/>
          <w:szCs w:val="28"/>
        </w:rPr>
        <w:t xml:space="preserve">, </w:t>
      </w:r>
      <w:r w:rsidR="0089079C" w:rsidRPr="0089079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9079C">
        <w:rPr>
          <w:rFonts w:ascii="Times New Roman" w:hAnsi="Times New Roman" w:cs="Times New Roman"/>
          <w:sz w:val="28"/>
          <w:szCs w:val="28"/>
        </w:rPr>
        <w:br/>
      </w:r>
      <w:r w:rsidR="0089079C" w:rsidRPr="0089079C">
        <w:rPr>
          <w:rFonts w:ascii="Times New Roman" w:hAnsi="Times New Roman" w:cs="Times New Roman"/>
          <w:sz w:val="28"/>
          <w:szCs w:val="28"/>
        </w:rPr>
        <w:t>№ 235-у/2022 подовжила до 16 червня 2022 року</w:t>
      </w:r>
      <w:r w:rsidR="004D482B">
        <w:rPr>
          <w:rFonts w:ascii="Times New Roman" w:hAnsi="Times New Roman" w:cs="Times New Roman"/>
          <w:sz w:val="28"/>
          <w:szCs w:val="28"/>
        </w:rPr>
        <w:t xml:space="preserve">, </w:t>
      </w:r>
      <w:r w:rsidR="004D482B" w:rsidRPr="004D482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4D482B">
        <w:rPr>
          <w:rFonts w:ascii="Times New Roman" w:hAnsi="Times New Roman" w:cs="Times New Roman"/>
          <w:sz w:val="28"/>
          <w:szCs w:val="28"/>
        </w:rPr>
        <w:br/>
      </w:r>
      <w:r w:rsidR="004D482B" w:rsidRPr="004D482B">
        <w:rPr>
          <w:rFonts w:ascii="Times New Roman" w:hAnsi="Times New Roman" w:cs="Times New Roman"/>
          <w:sz w:val="28"/>
          <w:szCs w:val="28"/>
        </w:rPr>
        <w:lastRenderedPageBreak/>
        <w:t>№ 307-у/2022 подовжила до 14 липня 2022 року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F6871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F6871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1F6871">
      <w:pPr>
        <w:widowControl/>
        <w:spacing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E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4D4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482B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6C2081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14D9F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3C370A" w:rsidRDefault="003C370A" w:rsidP="003C370A">
      <w:pPr>
        <w:widowControl/>
        <w:spacing w:line="396" w:lineRule="auto"/>
        <w:jc w:val="both"/>
        <w:rPr>
          <w:rFonts w:ascii="Times New Roman" w:hAnsi="Times New Roman"/>
          <w:sz w:val="28"/>
          <w:szCs w:val="28"/>
        </w:rPr>
      </w:pPr>
    </w:p>
    <w:p w:rsidR="003C370A" w:rsidRDefault="003C370A" w:rsidP="003C370A">
      <w:pPr>
        <w:widowControl/>
        <w:spacing w:line="396" w:lineRule="auto"/>
        <w:jc w:val="both"/>
        <w:rPr>
          <w:rFonts w:ascii="Times New Roman" w:hAnsi="Times New Roman"/>
          <w:sz w:val="28"/>
          <w:szCs w:val="28"/>
        </w:rPr>
      </w:pPr>
    </w:p>
    <w:p w:rsidR="003C370A" w:rsidRPr="003D67B5" w:rsidRDefault="003C370A" w:rsidP="003C370A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C370A" w:rsidRPr="003D67B5" w:rsidRDefault="003C370A" w:rsidP="003C370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3C370A" w:rsidRPr="00953EB5" w:rsidRDefault="003C370A" w:rsidP="003C370A">
      <w:pPr>
        <w:widowControl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71" w:rsidRPr="007B121F" w:rsidRDefault="001F6871" w:rsidP="001F6871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871" w:rsidRPr="007B121F" w:rsidSect="001F687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71" w:rsidRDefault="001F6871" w:rsidP="001F6871">
      <w:r>
        <w:separator/>
      </w:r>
    </w:p>
  </w:endnote>
  <w:endnote w:type="continuationSeparator" w:id="0">
    <w:p w:rsidR="001F6871" w:rsidRDefault="001F6871" w:rsidP="001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71" w:rsidRPr="001F6871" w:rsidRDefault="001F6871">
    <w:pPr>
      <w:pStyle w:val="ab"/>
      <w:rPr>
        <w:rFonts w:ascii="Times New Roman" w:hAnsi="Times New Roman" w:cs="Times New Roman"/>
        <w:sz w:val="10"/>
        <w:szCs w:val="10"/>
      </w:rPr>
    </w:pPr>
    <w:r w:rsidRPr="001F6871">
      <w:rPr>
        <w:rFonts w:ascii="Times New Roman" w:hAnsi="Times New Roman" w:cs="Times New Roman"/>
        <w:sz w:val="10"/>
        <w:szCs w:val="10"/>
      </w:rPr>
      <w:fldChar w:fldCharType="begin"/>
    </w:r>
    <w:r w:rsidRPr="001F68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F6871">
      <w:rPr>
        <w:rFonts w:ascii="Times New Roman" w:hAnsi="Times New Roman" w:cs="Times New Roman"/>
        <w:sz w:val="10"/>
        <w:szCs w:val="10"/>
      </w:rPr>
      <w:fldChar w:fldCharType="separate"/>
    </w:r>
    <w:r w:rsidR="005A5AE2">
      <w:rPr>
        <w:rFonts w:ascii="Times New Roman" w:hAnsi="Times New Roman" w:cs="Times New Roman"/>
        <w:noProof/>
        <w:sz w:val="10"/>
        <w:szCs w:val="10"/>
      </w:rPr>
      <w:t>G:\2022\Suddi\Uhvala VP\383.docx</w:t>
    </w:r>
    <w:r w:rsidRPr="001F68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71" w:rsidRPr="001F6871" w:rsidRDefault="001F6871">
    <w:pPr>
      <w:pStyle w:val="ab"/>
      <w:rPr>
        <w:rFonts w:ascii="Times New Roman" w:hAnsi="Times New Roman" w:cs="Times New Roman"/>
        <w:sz w:val="10"/>
        <w:szCs w:val="10"/>
      </w:rPr>
    </w:pPr>
    <w:r w:rsidRPr="001F6871">
      <w:rPr>
        <w:rFonts w:ascii="Times New Roman" w:hAnsi="Times New Roman" w:cs="Times New Roman"/>
        <w:sz w:val="10"/>
        <w:szCs w:val="10"/>
      </w:rPr>
      <w:fldChar w:fldCharType="begin"/>
    </w:r>
    <w:r w:rsidRPr="001F68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F6871">
      <w:rPr>
        <w:rFonts w:ascii="Times New Roman" w:hAnsi="Times New Roman" w:cs="Times New Roman"/>
        <w:sz w:val="10"/>
        <w:szCs w:val="10"/>
      </w:rPr>
      <w:fldChar w:fldCharType="separate"/>
    </w:r>
    <w:r w:rsidR="005A5AE2">
      <w:rPr>
        <w:rFonts w:ascii="Times New Roman" w:hAnsi="Times New Roman" w:cs="Times New Roman"/>
        <w:noProof/>
        <w:sz w:val="10"/>
        <w:szCs w:val="10"/>
      </w:rPr>
      <w:t>G:\2022\Suddi\Uhvala VP\383.docx</w:t>
    </w:r>
    <w:r w:rsidRPr="001F68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71" w:rsidRDefault="001F6871" w:rsidP="001F6871">
      <w:r>
        <w:separator/>
      </w:r>
    </w:p>
  </w:footnote>
  <w:footnote w:type="continuationSeparator" w:id="0">
    <w:p w:rsidR="001F6871" w:rsidRDefault="001F6871" w:rsidP="001F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298951394"/>
      <w:docPartObj>
        <w:docPartGallery w:val="Page Numbers (Top of Page)"/>
        <w:docPartUnique/>
      </w:docPartObj>
    </w:sdtPr>
    <w:sdtEndPr/>
    <w:sdtContent>
      <w:p w:rsidR="001F6871" w:rsidRPr="001F6871" w:rsidRDefault="001F6871">
        <w:pPr>
          <w:pStyle w:val="a9"/>
          <w:jc w:val="center"/>
          <w:rPr>
            <w:sz w:val="28"/>
            <w:szCs w:val="28"/>
          </w:rPr>
        </w:pPr>
        <w:r w:rsidRPr="001F6871">
          <w:rPr>
            <w:sz w:val="28"/>
            <w:szCs w:val="28"/>
          </w:rPr>
          <w:fldChar w:fldCharType="begin"/>
        </w:r>
        <w:r w:rsidRPr="001F6871">
          <w:rPr>
            <w:sz w:val="28"/>
            <w:szCs w:val="28"/>
          </w:rPr>
          <w:instrText>PAGE   \* MERGEFORMAT</w:instrText>
        </w:r>
        <w:r w:rsidRPr="001F6871">
          <w:rPr>
            <w:sz w:val="28"/>
            <w:szCs w:val="28"/>
          </w:rPr>
          <w:fldChar w:fldCharType="separate"/>
        </w:r>
        <w:r w:rsidR="003C370A">
          <w:rPr>
            <w:noProof/>
            <w:sz w:val="28"/>
            <w:szCs w:val="28"/>
          </w:rPr>
          <w:t>3</w:t>
        </w:r>
        <w:r w:rsidRPr="001F687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1F687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3C370A"/>
    <w:rsid w:val="00416E55"/>
    <w:rsid w:val="00425290"/>
    <w:rsid w:val="00470B66"/>
    <w:rsid w:val="00475902"/>
    <w:rsid w:val="004C058B"/>
    <w:rsid w:val="004D440B"/>
    <w:rsid w:val="004D482B"/>
    <w:rsid w:val="004D77FE"/>
    <w:rsid w:val="004D7EF7"/>
    <w:rsid w:val="00545C00"/>
    <w:rsid w:val="00553B67"/>
    <w:rsid w:val="00554209"/>
    <w:rsid w:val="00567746"/>
    <w:rsid w:val="00575657"/>
    <w:rsid w:val="005A5AE2"/>
    <w:rsid w:val="005B4A5D"/>
    <w:rsid w:val="005B4CB2"/>
    <w:rsid w:val="005C2791"/>
    <w:rsid w:val="005F4271"/>
    <w:rsid w:val="005F4362"/>
    <w:rsid w:val="00622402"/>
    <w:rsid w:val="006226D9"/>
    <w:rsid w:val="00652146"/>
    <w:rsid w:val="00676160"/>
    <w:rsid w:val="006843D6"/>
    <w:rsid w:val="006A3913"/>
    <w:rsid w:val="006B4452"/>
    <w:rsid w:val="006C2081"/>
    <w:rsid w:val="006D7341"/>
    <w:rsid w:val="007560FE"/>
    <w:rsid w:val="007A52AD"/>
    <w:rsid w:val="007B0C6E"/>
    <w:rsid w:val="007B5165"/>
    <w:rsid w:val="007C59BA"/>
    <w:rsid w:val="007D203C"/>
    <w:rsid w:val="007D5E46"/>
    <w:rsid w:val="007E1E9F"/>
    <w:rsid w:val="007F18C8"/>
    <w:rsid w:val="007F5292"/>
    <w:rsid w:val="00831D17"/>
    <w:rsid w:val="00842FE2"/>
    <w:rsid w:val="00871BA3"/>
    <w:rsid w:val="00871D9B"/>
    <w:rsid w:val="0089079C"/>
    <w:rsid w:val="008D7072"/>
    <w:rsid w:val="008E3090"/>
    <w:rsid w:val="008F43C9"/>
    <w:rsid w:val="00937B2A"/>
    <w:rsid w:val="00972A73"/>
    <w:rsid w:val="009A10B9"/>
    <w:rsid w:val="009A14B0"/>
    <w:rsid w:val="009B360B"/>
    <w:rsid w:val="009C6FCF"/>
    <w:rsid w:val="00A039D1"/>
    <w:rsid w:val="00A054F9"/>
    <w:rsid w:val="00A27C0F"/>
    <w:rsid w:val="00A4528E"/>
    <w:rsid w:val="00A95B6E"/>
    <w:rsid w:val="00AB00FF"/>
    <w:rsid w:val="00AC423B"/>
    <w:rsid w:val="00AC619E"/>
    <w:rsid w:val="00AE7F65"/>
    <w:rsid w:val="00AF0A29"/>
    <w:rsid w:val="00AF2E46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77089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14D9F"/>
    <w:rsid w:val="00F26EE1"/>
    <w:rsid w:val="00F3065B"/>
    <w:rsid w:val="00F37E2D"/>
    <w:rsid w:val="00F51F04"/>
    <w:rsid w:val="00F54AE4"/>
    <w:rsid w:val="00F701D3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5166"/>
  <w15:docId w15:val="{621120C0-45CF-46C6-93DE-8089425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87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1F6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1F687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1F6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687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F687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5</cp:revision>
  <cp:lastPrinted>2022-07-14T11:00:00Z</cp:lastPrinted>
  <dcterms:created xsi:type="dcterms:W3CDTF">2022-07-11T05:31:00Z</dcterms:created>
  <dcterms:modified xsi:type="dcterms:W3CDTF">2022-07-27T08:19:00Z</dcterms:modified>
</cp:coreProperties>
</file>