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AA" w:rsidRPr="00276CD9" w:rsidRDefault="00BC75AA" w:rsidP="00BC7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C75AA" w:rsidRPr="00276CD9" w:rsidRDefault="00BC75AA" w:rsidP="00BC7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5AA" w:rsidRPr="00276CD9" w:rsidRDefault="00BC75AA" w:rsidP="00BC7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75AA" w:rsidRPr="00276CD9" w:rsidRDefault="00BC75AA" w:rsidP="00BC7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C75AA" w:rsidRPr="00276CD9" w:rsidRDefault="00BC75AA" w:rsidP="00BC7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5AA" w:rsidRPr="00276CD9" w:rsidRDefault="00BC75AA" w:rsidP="00BC7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5AA" w:rsidRPr="00276CD9" w:rsidRDefault="00BC75AA" w:rsidP="00BC75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5AA" w:rsidRPr="00276CD9" w:rsidRDefault="00BC75AA" w:rsidP="00276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6CD9">
        <w:rPr>
          <w:rFonts w:ascii="Times New Roman" w:hAnsi="Times New Roman"/>
          <w:b/>
          <w:sz w:val="28"/>
          <w:szCs w:val="28"/>
        </w:rPr>
        <w:t>про відмову у відкритті конституційного провадження у справі</w:t>
      </w:r>
      <w:r w:rsidR="004320B8">
        <w:rPr>
          <w:rFonts w:ascii="Times New Roman" w:hAnsi="Times New Roman"/>
          <w:b/>
          <w:sz w:val="28"/>
          <w:szCs w:val="28"/>
        </w:rPr>
        <w:t xml:space="preserve"> </w:t>
      </w:r>
      <w:r w:rsidR="004320B8">
        <w:rPr>
          <w:rFonts w:ascii="Times New Roman" w:hAnsi="Times New Roman"/>
          <w:b/>
          <w:sz w:val="28"/>
          <w:szCs w:val="28"/>
        </w:rPr>
        <w:br/>
      </w:r>
      <w:r w:rsidRPr="00276CD9">
        <w:rPr>
          <w:rFonts w:ascii="Times New Roman" w:hAnsi="Times New Roman"/>
          <w:b/>
          <w:sz w:val="28"/>
          <w:szCs w:val="28"/>
        </w:rPr>
        <w:t>за конституційною скаргою Гнезділова Сергія Олексійовича щодо відповідності Конституції України (конституційності) абзацу восьмого частини четвертої статті 183 Кримінального</w:t>
      </w:r>
      <w:r w:rsidR="004320B8">
        <w:rPr>
          <w:rFonts w:ascii="Times New Roman" w:hAnsi="Times New Roman"/>
          <w:b/>
          <w:sz w:val="28"/>
          <w:szCs w:val="28"/>
        </w:rPr>
        <w:t xml:space="preserve"> </w:t>
      </w:r>
      <w:r w:rsidRPr="00276CD9">
        <w:rPr>
          <w:rFonts w:ascii="Times New Roman" w:hAnsi="Times New Roman"/>
          <w:b/>
          <w:sz w:val="28"/>
          <w:szCs w:val="28"/>
        </w:rPr>
        <w:t xml:space="preserve">процесуального </w:t>
      </w:r>
      <w:r w:rsidR="004320B8">
        <w:rPr>
          <w:rFonts w:ascii="Times New Roman" w:hAnsi="Times New Roman"/>
          <w:b/>
          <w:sz w:val="28"/>
          <w:szCs w:val="28"/>
        </w:rPr>
        <w:br/>
      </w:r>
      <w:r w:rsidR="004320B8">
        <w:rPr>
          <w:rFonts w:ascii="Times New Roman" w:hAnsi="Times New Roman"/>
          <w:b/>
          <w:sz w:val="28"/>
          <w:szCs w:val="28"/>
        </w:rPr>
        <w:tab/>
      </w:r>
      <w:r w:rsidR="004320B8">
        <w:rPr>
          <w:rFonts w:ascii="Times New Roman" w:hAnsi="Times New Roman"/>
          <w:b/>
          <w:sz w:val="28"/>
          <w:szCs w:val="28"/>
        </w:rPr>
        <w:tab/>
      </w:r>
      <w:r w:rsidR="004320B8">
        <w:rPr>
          <w:rFonts w:ascii="Times New Roman" w:hAnsi="Times New Roman"/>
          <w:b/>
          <w:sz w:val="28"/>
          <w:szCs w:val="28"/>
        </w:rPr>
        <w:tab/>
      </w:r>
      <w:r w:rsidR="004320B8">
        <w:rPr>
          <w:rFonts w:ascii="Times New Roman" w:hAnsi="Times New Roman"/>
          <w:b/>
          <w:sz w:val="28"/>
          <w:szCs w:val="28"/>
        </w:rPr>
        <w:tab/>
      </w:r>
      <w:r w:rsidR="004320B8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276CD9">
        <w:rPr>
          <w:rFonts w:ascii="Times New Roman" w:hAnsi="Times New Roman"/>
          <w:b/>
          <w:sz w:val="28"/>
          <w:szCs w:val="28"/>
        </w:rPr>
        <w:t>кодексу України</w:t>
      </w:r>
    </w:p>
    <w:p w:rsidR="00BC75AA" w:rsidRPr="00276CD9" w:rsidRDefault="00BC75AA" w:rsidP="00276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75AA" w:rsidRPr="00276CD9" w:rsidRDefault="00BC75AA" w:rsidP="00276C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t>К и ї в</w:t>
      </w:r>
      <w:r w:rsidRPr="00276CD9">
        <w:rPr>
          <w:rFonts w:ascii="Times New Roman" w:hAnsi="Times New Roman"/>
          <w:sz w:val="28"/>
          <w:szCs w:val="28"/>
        </w:rPr>
        <w:tab/>
      </w:r>
      <w:r w:rsidRPr="00276CD9">
        <w:rPr>
          <w:rFonts w:ascii="Times New Roman" w:hAnsi="Times New Roman"/>
          <w:sz w:val="28"/>
          <w:szCs w:val="28"/>
        </w:rPr>
        <w:tab/>
      </w:r>
      <w:r w:rsidRPr="00276CD9">
        <w:rPr>
          <w:rFonts w:ascii="Times New Roman" w:hAnsi="Times New Roman"/>
          <w:sz w:val="28"/>
          <w:szCs w:val="28"/>
        </w:rPr>
        <w:tab/>
      </w:r>
      <w:r w:rsidRPr="00276CD9">
        <w:rPr>
          <w:rFonts w:ascii="Times New Roman" w:hAnsi="Times New Roman"/>
          <w:sz w:val="28"/>
          <w:szCs w:val="28"/>
        </w:rPr>
        <w:tab/>
      </w:r>
      <w:r w:rsidRPr="00276CD9">
        <w:rPr>
          <w:rFonts w:ascii="Times New Roman" w:hAnsi="Times New Roman"/>
          <w:sz w:val="28"/>
          <w:szCs w:val="28"/>
        </w:rPr>
        <w:tab/>
      </w:r>
      <w:r w:rsidRPr="00276CD9">
        <w:rPr>
          <w:rFonts w:ascii="Times New Roman" w:hAnsi="Times New Roman"/>
          <w:sz w:val="28"/>
          <w:szCs w:val="28"/>
        </w:rPr>
        <w:tab/>
      </w:r>
      <w:r w:rsidRPr="00276CD9">
        <w:rPr>
          <w:rFonts w:ascii="Times New Roman" w:hAnsi="Times New Roman"/>
          <w:sz w:val="28"/>
          <w:szCs w:val="28"/>
        </w:rPr>
        <w:tab/>
      </w:r>
      <w:r w:rsidRPr="00276CD9">
        <w:rPr>
          <w:rFonts w:ascii="Times New Roman" w:hAnsi="Times New Roman"/>
          <w:sz w:val="28"/>
          <w:szCs w:val="28"/>
        </w:rPr>
        <w:tab/>
        <w:t>Справа № 3-47/2025(94/25)</w:t>
      </w:r>
    </w:p>
    <w:p w:rsidR="00BC75AA" w:rsidRPr="00276CD9" w:rsidRDefault="00BC75AA" w:rsidP="00276C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t>23 квітня 2025 року</w:t>
      </w:r>
    </w:p>
    <w:p w:rsidR="00BC75AA" w:rsidRPr="00276CD9" w:rsidRDefault="00BC75AA" w:rsidP="00276C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t>№ 30-3(ІІ)/2025</w:t>
      </w:r>
    </w:p>
    <w:p w:rsidR="00BC75AA" w:rsidRPr="00276CD9" w:rsidRDefault="00BC75AA" w:rsidP="00276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20B8" w:rsidRDefault="004320B8" w:rsidP="004320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20B8" w:rsidRDefault="004320B8" w:rsidP="004320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75AA" w:rsidRPr="00276CD9" w:rsidRDefault="00BC75AA" w:rsidP="004320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t xml:space="preserve">Третя колегія суддів Другого сенату Конституційного Суду України </w:t>
      </w:r>
      <w:r w:rsidR="004320B8">
        <w:rPr>
          <w:rFonts w:ascii="Times New Roman" w:hAnsi="Times New Roman"/>
          <w:sz w:val="28"/>
          <w:szCs w:val="28"/>
        </w:rPr>
        <w:br/>
      </w:r>
      <w:r w:rsidRPr="00276CD9">
        <w:rPr>
          <w:rFonts w:ascii="Times New Roman" w:hAnsi="Times New Roman"/>
          <w:sz w:val="28"/>
          <w:szCs w:val="28"/>
        </w:rPr>
        <w:t>у складі:</w:t>
      </w:r>
    </w:p>
    <w:p w:rsidR="00BC75AA" w:rsidRPr="00276CD9" w:rsidRDefault="00BC75AA" w:rsidP="004320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75AA" w:rsidRPr="00276CD9" w:rsidRDefault="00BC75AA" w:rsidP="004320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t>Первомайський Олег Олексійович (голова засідання),</w:t>
      </w:r>
    </w:p>
    <w:p w:rsidR="00BC75AA" w:rsidRPr="00276CD9" w:rsidRDefault="00BC75AA" w:rsidP="004320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t>Городовенко Віктор Валентинович (доповідач),</w:t>
      </w:r>
    </w:p>
    <w:p w:rsidR="00BC75AA" w:rsidRPr="00276CD9" w:rsidRDefault="00BC75AA" w:rsidP="004320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t>Різник Сергій Васильович,</w:t>
      </w:r>
    </w:p>
    <w:p w:rsidR="00BC75AA" w:rsidRPr="00276CD9" w:rsidRDefault="00BC75AA" w:rsidP="004320B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75AA" w:rsidRPr="00276CD9" w:rsidRDefault="00BC75AA" w:rsidP="00276C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 Гнезділова Сергія Олексійовича щодо відповідності Конституції України (конституційності) абзацу восьмого частини четвертої статті 183 Кримінального процесуального кодексу України.</w:t>
      </w:r>
    </w:p>
    <w:p w:rsidR="00BC75AA" w:rsidRPr="00276CD9" w:rsidRDefault="00BC75AA" w:rsidP="00276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75AA" w:rsidRPr="00276CD9" w:rsidRDefault="00BC75AA" w:rsidP="00276C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t>Заслухавши суддю-доповідача Городовенка В.В. та дослідивши матеріали справи, Третя колегія суддів Другого сенату Конституційного Суду України</w:t>
      </w:r>
    </w:p>
    <w:p w:rsidR="00BC75AA" w:rsidRPr="00276CD9" w:rsidRDefault="00BC75AA" w:rsidP="00276CD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C75AA" w:rsidRPr="00276CD9" w:rsidRDefault="00BC75AA" w:rsidP="00276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CD9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BC75AA" w:rsidRPr="00276CD9" w:rsidRDefault="00BC75AA" w:rsidP="00276CD9">
      <w:pPr>
        <w:pStyle w:val="a5"/>
        <w:spacing w:line="240" w:lineRule="auto"/>
        <w:ind w:firstLine="567"/>
      </w:pPr>
    </w:p>
    <w:p w:rsidR="00BC75AA" w:rsidRPr="00276CD9" w:rsidRDefault="00BC75AA" w:rsidP="00276CD9">
      <w:pPr>
        <w:pStyle w:val="a5"/>
        <w:ind w:firstLine="567"/>
      </w:pPr>
      <w:r w:rsidRPr="00276CD9">
        <w:t xml:space="preserve">1. Гнезділов С.О. звернувся до Конституційного Суду України </w:t>
      </w:r>
      <w:r w:rsidR="004320B8">
        <w:br/>
      </w:r>
      <w:r w:rsidRPr="00276CD9">
        <w:t xml:space="preserve">з клопотанням перевірити на відповідність </w:t>
      </w:r>
      <w:bookmarkStart w:id="1" w:name="_Hlk171678194"/>
      <w:r w:rsidRPr="00276CD9">
        <w:t xml:space="preserve">статті 24 Конституції України </w:t>
      </w:r>
      <w:r w:rsidRPr="00276CD9">
        <w:lastRenderedPageBreak/>
        <w:t xml:space="preserve">(конституційність) абзац восьмий частини четвертої статті 183 Кримінального процесуального кодексу України (далі ‒ Кодекс), згідно з яким „під час дії воєнного стану слідчий суддя, суд при постановленні ухвали про застосування запобіжного заходу у вигляді тримання під вартою, враховуючи підстави та обставини, передбачені </w:t>
      </w:r>
      <w:hyperlink r:id="rId6" w:anchor="n1723" w:history="1">
        <w:r w:rsidRPr="00276CD9">
          <w:rPr>
            <w:rStyle w:val="a3"/>
            <w:color w:val="auto"/>
            <w:u w:val="none"/>
          </w:rPr>
          <w:t>статтями 177</w:t>
        </w:r>
      </w:hyperlink>
      <w:r w:rsidRPr="00276CD9">
        <w:t xml:space="preserve"> та </w:t>
      </w:r>
      <w:hyperlink r:id="rId7" w:anchor="n1731" w:history="1">
        <w:r w:rsidRPr="00276CD9">
          <w:rPr>
            <w:rStyle w:val="a3"/>
            <w:color w:val="auto"/>
            <w:u w:val="none"/>
          </w:rPr>
          <w:t>178</w:t>
        </w:r>
      </w:hyperlink>
      <w:r w:rsidRPr="00276CD9">
        <w:t xml:space="preserve"> цього Кодексу, має право не визначити розмір застави у кримінальному провадженні щодо злочину, передбаченого </w:t>
      </w:r>
      <w:hyperlink r:id="rId8" w:anchor="n690" w:tgtFrame="_blank" w:history="1">
        <w:r w:rsidRPr="00276CD9">
          <w:rPr>
            <w:rStyle w:val="a3"/>
            <w:color w:val="auto"/>
            <w:u w:val="none"/>
          </w:rPr>
          <w:t>статтями 109‒</w:t>
        </w:r>
      </w:hyperlink>
      <w:hyperlink r:id="rId9" w:anchor="n690" w:tgtFrame="_blank" w:history="1">
        <w:r w:rsidRPr="00276CD9">
          <w:rPr>
            <w:rStyle w:val="a3"/>
            <w:color w:val="auto"/>
            <w:u w:val="none"/>
          </w:rPr>
          <w:t>114</w:t>
        </w:r>
      </w:hyperlink>
      <w:hyperlink r:id="rId10" w:anchor="n690" w:tgtFrame="_blank" w:history="1">
        <w:r w:rsidRPr="00276CD9">
          <w:rPr>
            <w:rStyle w:val="a3"/>
            <w:color w:val="auto"/>
            <w:u w:val="none"/>
            <w:vertAlign w:val="superscript"/>
          </w:rPr>
          <w:t>2</w:t>
        </w:r>
      </w:hyperlink>
      <w:r w:rsidRPr="00276CD9">
        <w:t xml:space="preserve">, </w:t>
      </w:r>
      <w:hyperlink r:id="rId11" w:anchor="n1707" w:tgtFrame="_blank" w:history="1">
        <w:r w:rsidRPr="00276CD9">
          <w:rPr>
            <w:rStyle w:val="a3"/>
            <w:color w:val="auto"/>
            <w:u w:val="none"/>
          </w:rPr>
          <w:t>258‒258</w:t>
        </w:r>
      </w:hyperlink>
      <w:hyperlink r:id="rId12" w:anchor="n1707" w:tgtFrame="_blank" w:history="1">
        <w:r w:rsidRPr="00276CD9">
          <w:rPr>
            <w:rStyle w:val="a3"/>
            <w:color w:val="auto"/>
            <w:u w:val="none"/>
            <w:vertAlign w:val="superscript"/>
          </w:rPr>
          <w:t>6</w:t>
        </w:r>
      </w:hyperlink>
      <w:r w:rsidRPr="00276CD9">
        <w:t xml:space="preserve">, </w:t>
      </w:r>
      <w:hyperlink r:id="rId13" w:anchor="n1756" w:tgtFrame="_blank" w:history="1">
        <w:r w:rsidRPr="00276CD9">
          <w:rPr>
            <w:rStyle w:val="a3"/>
            <w:color w:val="auto"/>
            <w:u w:val="none"/>
          </w:rPr>
          <w:t>260</w:t>
        </w:r>
      </w:hyperlink>
      <w:r w:rsidRPr="00276CD9">
        <w:t xml:space="preserve">, </w:t>
      </w:r>
      <w:hyperlink r:id="rId14" w:anchor="n1770" w:tgtFrame="_blank" w:history="1">
        <w:r w:rsidRPr="00276CD9">
          <w:rPr>
            <w:rStyle w:val="a3"/>
            <w:color w:val="auto"/>
            <w:u w:val="none"/>
          </w:rPr>
          <w:t>261</w:t>
        </w:r>
      </w:hyperlink>
      <w:r w:rsidRPr="00276CD9">
        <w:t xml:space="preserve">, </w:t>
      </w:r>
      <w:hyperlink r:id="rId15" w:anchor="n2840" w:tgtFrame="_blank" w:history="1">
        <w:r w:rsidRPr="00276CD9">
          <w:rPr>
            <w:rStyle w:val="a3"/>
            <w:color w:val="auto"/>
            <w:u w:val="none"/>
          </w:rPr>
          <w:t>402‒405</w:t>
        </w:r>
      </w:hyperlink>
      <w:r w:rsidRPr="00276CD9">
        <w:t xml:space="preserve">, </w:t>
      </w:r>
      <w:hyperlink r:id="rId16" w:anchor="n2875" w:tgtFrame="_blank" w:history="1">
        <w:r w:rsidRPr="00276CD9">
          <w:rPr>
            <w:rStyle w:val="a3"/>
            <w:color w:val="auto"/>
            <w:u w:val="none"/>
          </w:rPr>
          <w:t>407</w:t>
        </w:r>
      </w:hyperlink>
      <w:r w:rsidRPr="00276CD9">
        <w:t xml:space="preserve">, </w:t>
      </w:r>
      <w:hyperlink r:id="rId17" w:anchor="n2884" w:tgtFrame="_blank" w:history="1">
        <w:r w:rsidRPr="00276CD9">
          <w:rPr>
            <w:rStyle w:val="a3"/>
            <w:color w:val="auto"/>
            <w:u w:val="none"/>
          </w:rPr>
          <w:t>408</w:t>
        </w:r>
      </w:hyperlink>
      <w:r w:rsidRPr="00276CD9">
        <w:t xml:space="preserve">, </w:t>
      </w:r>
      <w:hyperlink r:id="rId18" w:anchor="n2998" w:tgtFrame="_blank" w:history="1">
        <w:r w:rsidRPr="00276CD9">
          <w:rPr>
            <w:rStyle w:val="a3"/>
            <w:color w:val="auto"/>
            <w:u w:val="none"/>
          </w:rPr>
          <w:t>429</w:t>
        </w:r>
      </w:hyperlink>
      <w:r w:rsidRPr="00276CD9">
        <w:t xml:space="preserve">, </w:t>
      </w:r>
      <w:hyperlink r:id="rId19" w:anchor="n3035" w:tgtFrame="_blank" w:history="1">
        <w:r w:rsidRPr="00276CD9">
          <w:rPr>
            <w:rStyle w:val="a3"/>
            <w:color w:val="auto"/>
            <w:u w:val="none"/>
          </w:rPr>
          <w:t>437‒442</w:t>
        </w:r>
      </w:hyperlink>
      <w:hyperlink r:id="rId20" w:anchor="n3035" w:tgtFrame="_blank" w:history="1">
        <w:r w:rsidRPr="00276CD9">
          <w:rPr>
            <w:rStyle w:val="a3"/>
            <w:color w:val="auto"/>
            <w:u w:val="none"/>
            <w:vertAlign w:val="superscript"/>
          </w:rPr>
          <w:t>1</w:t>
        </w:r>
      </w:hyperlink>
      <w:r w:rsidRPr="00276CD9">
        <w:t xml:space="preserve"> Кримінального кодексу України“.</w:t>
      </w:r>
    </w:p>
    <w:bookmarkEnd w:id="1"/>
    <w:p w:rsidR="00BC75AA" w:rsidRPr="00276CD9" w:rsidRDefault="00BC75AA" w:rsidP="000304CE">
      <w:pPr>
        <w:pStyle w:val="a5"/>
        <w:spacing w:line="240" w:lineRule="auto"/>
        <w:ind w:firstLine="567"/>
      </w:pPr>
    </w:p>
    <w:p w:rsidR="00BC75AA" w:rsidRPr="00276CD9" w:rsidRDefault="00BC75AA" w:rsidP="00276CD9">
      <w:pPr>
        <w:pStyle w:val="a5"/>
        <w:ind w:firstLine="567"/>
      </w:pPr>
      <w:r w:rsidRPr="00276CD9">
        <w:t>1.1. Зі змісту конституційної скарги та долучених до неї матеріалів убачається таке.</w:t>
      </w:r>
    </w:p>
    <w:p w:rsidR="00BC75AA" w:rsidRPr="00276CD9" w:rsidRDefault="00BC75AA" w:rsidP="00276C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t xml:space="preserve">Старший слідчий Головного слідчого управління Державного бюро розслідувань у межах кримінального провадження № 42024052210003371 </w:t>
      </w:r>
      <w:r w:rsidRPr="00276CD9">
        <w:rPr>
          <w:rFonts w:ascii="Times New Roman" w:hAnsi="Times New Roman"/>
          <w:sz w:val="28"/>
          <w:szCs w:val="28"/>
        </w:rPr>
        <w:br/>
        <w:t xml:space="preserve">від 23 вересня 2024 року повідомив військовослужбовцю Гнезділову С.О. </w:t>
      </w:r>
      <w:r w:rsidRPr="00276CD9">
        <w:rPr>
          <w:rFonts w:ascii="Times New Roman" w:hAnsi="Times New Roman"/>
          <w:sz w:val="28"/>
          <w:szCs w:val="28"/>
        </w:rPr>
        <w:br/>
        <w:t>10 жовтня 2024 року про підозру у вчиненні кримінального правопорушення, визначеного частиною четвертою статті 408 Кримінального кодексу України (далі ‒ КК України).</w:t>
      </w:r>
    </w:p>
    <w:p w:rsidR="00BC75AA" w:rsidRPr="00276CD9" w:rsidRDefault="00BC75AA" w:rsidP="00276C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t>У межах зазначеного кримінального провадження старший слідчий Головного слідчого управління Державного бюро розслідувань за погодженням із прокурором звернувся до Печерського районного суду міста Києва з клопотанням про застосування щодо Гнезділова С.О. запобіжного заходу у виді тримання під вартою.</w:t>
      </w:r>
    </w:p>
    <w:p w:rsidR="00BC75AA" w:rsidRPr="00276CD9" w:rsidRDefault="00BC75AA" w:rsidP="00276C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t xml:space="preserve">Слідчий суддя Печерського районного суду міста Києва ухвалою </w:t>
      </w:r>
      <w:r w:rsidRPr="00276CD9">
        <w:rPr>
          <w:rFonts w:ascii="Times New Roman" w:hAnsi="Times New Roman"/>
          <w:sz w:val="28"/>
          <w:szCs w:val="28"/>
        </w:rPr>
        <w:br/>
        <w:t>від 11 жовтня 2024 року задовольнив указане клопотання та застосував до Гнезділова С.О. запобіжний захід у виді тримання під вартою з утриманням на гауптвахті Центрального управління Військової служби правопорядку.</w:t>
      </w:r>
    </w:p>
    <w:p w:rsidR="00BC75AA" w:rsidRPr="00276CD9" w:rsidRDefault="00BC75AA" w:rsidP="00276C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t>Не погоджуючись з указаною ухвалою Печерського районного суду міста Києва, захисник Шадрін О.С., який діяв в інтересах Гнезділова С.О., звернувся до Київського апеляційного суду з апеляційною скаргою.</w:t>
      </w:r>
    </w:p>
    <w:p w:rsidR="00BC75AA" w:rsidRPr="00276CD9" w:rsidRDefault="00BC75AA" w:rsidP="00276C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lastRenderedPageBreak/>
        <w:t>Київський апеляційний суд ухвалою від 19 листопада 2024 року апеляційну скаргу захисника Шадріна О.С. залишив без задоволення, а ухвалу слідчого судді Печерського районного суду міста Києва від 11 жовтня 2024 року ‒ без зміни. Суд апеляційної інстанції послався на приписи частини четвертої статті 183 Кодексу та зазначив, що „рішення слідчого судді є законним, обґрунтованим і вмотивованим, оскільки постановлене згідно норм кримінального процесуального закону з ретельним дотриманням вимог щодо кримінального провадження, передбачених КПК України, та ухвалене на підставі об’єктивно з’ясованих обставин, які підтверджені достатніми даними, дослідженими та об’єктивно оціненими судом, в порядку та в межах, передбачених на даній стадії кримінального провадження“.</w:t>
      </w:r>
    </w:p>
    <w:p w:rsidR="00BC75AA" w:rsidRPr="00276CD9" w:rsidRDefault="00BC75AA" w:rsidP="00276C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t>Ухвалою Бабушкінського районн</w:t>
      </w:r>
      <w:r w:rsidR="00276CD9">
        <w:rPr>
          <w:rFonts w:ascii="Times New Roman" w:hAnsi="Times New Roman"/>
          <w:sz w:val="28"/>
          <w:szCs w:val="28"/>
        </w:rPr>
        <w:t>ого суду міста Дніпропетровська</w:t>
      </w:r>
      <w:r w:rsidRPr="00276CD9">
        <w:rPr>
          <w:rFonts w:ascii="Times New Roman" w:hAnsi="Times New Roman"/>
          <w:sz w:val="28"/>
          <w:szCs w:val="28"/>
        </w:rPr>
        <w:br/>
        <w:t>від 23 січня 2025 року Гнезділова С.О. звільнено від кримінальної відповідальності за вчинення кримінального правопорушення, визначеного частиною четвертою статті 408 КК України, на підставі частини п’ятої статті 401 КК України, а кримінальне провадження закрито. Застосований раніше до Гнезділова С.О. запобіжний захід у вигляді тримання під вартою скасовано.</w:t>
      </w:r>
    </w:p>
    <w:p w:rsidR="00BC75AA" w:rsidRPr="00276CD9" w:rsidRDefault="00BC75AA" w:rsidP="000304CE">
      <w:pPr>
        <w:pStyle w:val="a5"/>
        <w:spacing w:line="240" w:lineRule="auto"/>
        <w:ind w:firstLine="567"/>
      </w:pPr>
    </w:p>
    <w:p w:rsidR="00BC75AA" w:rsidRPr="00276CD9" w:rsidRDefault="00BC75AA" w:rsidP="00276CD9">
      <w:pPr>
        <w:pStyle w:val="a5"/>
        <w:ind w:firstLine="567"/>
      </w:pPr>
      <w:r w:rsidRPr="00276CD9">
        <w:t>1.2. Гнезділов С.О. твердить, що „віднесення військовослужбовців, які боронять України та вчинили непокору, самовільне залишення частини або дезертирство, до небезпечних злочинів на рівні зі зрадниками України, терористами та воєнними злочинцями – є нічим іншим, як дискримінація за сферою діяльності“. За його словами, „внаслідок таких дискримінаційних положень, що не відповідають Конституції України, до військовослужбовців застосовується виключно найсуворіший запобіжний захід (тримання під вартою), а суд наділений ще повноваженнями позбавити їх права на внесення застави“.</w:t>
      </w:r>
    </w:p>
    <w:p w:rsidR="00BC75AA" w:rsidRPr="00276CD9" w:rsidRDefault="00BC75AA" w:rsidP="00276CD9">
      <w:pPr>
        <w:pStyle w:val="a5"/>
        <w:ind w:firstLine="567"/>
      </w:pPr>
      <w:r w:rsidRPr="00276CD9">
        <w:t xml:space="preserve">На думку автора клопотання, оспорювані приписи Кодексу не відповідають Конституції України, оскільки „встановлюють безальтернативне тримання під вартою окремих категорій осіб, що суперечить принципу рівності перед законом </w:t>
      </w:r>
      <w:r w:rsidRPr="00276CD9">
        <w:lastRenderedPageBreak/>
        <w:t>(ст. 24 Конституції України). Внаслідок чого порушено без належного обґрунтування право скаржника на свободу і особисту недоторканність, гарантоване ст. 29 Конституції України“.</w:t>
      </w:r>
    </w:p>
    <w:p w:rsidR="00BC75AA" w:rsidRPr="00276CD9" w:rsidRDefault="00BC75AA" w:rsidP="00276CD9">
      <w:pPr>
        <w:pStyle w:val="a5"/>
        <w:ind w:firstLine="567"/>
      </w:pPr>
      <w:r w:rsidRPr="00276CD9">
        <w:t>Обґрунтовуючи свої твердження, суб’єкт права на конституційну скаргу наводить приписи Конституції України, Кодексу, а також посилається на судові рішення у своїй справі, копії яких долучено до конституційної скарги.</w:t>
      </w:r>
    </w:p>
    <w:p w:rsidR="00BC75AA" w:rsidRPr="00276CD9" w:rsidRDefault="00BC75AA" w:rsidP="00276CD9">
      <w:pPr>
        <w:pStyle w:val="a5"/>
        <w:ind w:firstLine="567"/>
      </w:pPr>
      <w:bookmarkStart w:id="2" w:name="_Hlk168035927"/>
      <w:r w:rsidRPr="00276CD9">
        <w:t xml:space="preserve">Гнезділов С.О. </w:t>
      </w:r>
      <w:bookmarkEnd w:id="2"/>
      <w:r w:rsidRPr="00276CD9">
        <w:t>також просить „визнати поважними причини пропуску тримісячного строку, визначеного для подання конституційної скарги“.</w:t>
      </w:r>
    </w:p>
    <w:p w:rsidR="00BC75AA" w:rsidRPr="00276CD9" w:rsidRDefault="00BC75AA" w:rsidP="000304CE">
      <w:pPr>
        <w:pStyle w:val="a5"/>
        <w:spacing w:line="240" w:lineRule="auto"/>
        <w:ind w:firstLine="567"/>
      </w:pPr>
    </w:p>
    <w:p w:rsidR="00BC75AA" w:rsidRPr="00276CD9" w:rsidRDefault="00BC75AA" w:rsidP="00276C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t>2. Розв’язуючи питання щодо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:rsidR="00BC75AA" w:rsidRPr="00276CD9" w:rsidRDefault="00BC75AA" w:rsidP="000304CE">
      <w:pPr>
        <w:pStyle w:val="a5"/>
        <w:spacing w:line="240" w:lineRule="auto"/>
        <w:ind w:firstLine="567"/>
      </w:pPr>
    </w:p>
    <w:p w:rsidR="00BC75AA" w:rsidRPr="00276CD9" w:rsidRDefault="00BC75AA" w:rsidP="00276CD9">
      <w:pPr>
        <w:pStyle w:val="a5"/>
        <w:ind w:firstLine="567"/>
      </w:pPr>
      <w:r w:rsidRPr="00276CD9">
        <w:t>2.1. Згідно зі статтею 77 Закону України „Про Конституційний Суд України“ конституційна скарга є прийнятною за умов її відповідності вимогам, визначеним статтями 55, 56 цього закону, та якщо з дня набрання законної сили остаточним судовим рішенням, у якому застосовано закон України (його окремі приписи), сплинуло не більше трьох місяців (абзац перший, пункт 2 частини</w:t>
      </w:r>
      <w:r w:rsidR="00276CD9">
        <w:t> </w:t>
      </w:r>
      <w:r w:rsidRPr="00276CD9">
        <w:t>першої); як виняток, конституційна скарга може бути прийнята поза межами вимог, установлених пунктом 2 частини першої цієї статті, якщо Конституційний Суд України визнає її розгляд потрібним із мотивів суспільного інтересу (частина друга); якщо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третя).</w:t>
      </w:r>
    </w:p>
    <w:p w:rsidR="00BC75AA" w:rsidRPr="00276CD9" w:rsidRDefault="00BC75AA" w:rsidP="00276CD9">
      <w:pPr>
        <w:pStyle w:val="a5"/>
        <w:ind w:firstLine="567"/>
      </w:pPr>
      <w:r w:rsidRPr="00276CD9">
        <w:t>У конституційній скарзі Гнезділов С.О. зазначає про „причини пропуску тримісячного строку, визначеного для подання конституційної скарги“ і просить визнати їх поважними. Тобто автор клопотання фактично просить поновити пропущений строк подання конституційної скарги.</w:t>
      </w:r>
    </w:p>
    <w:p w:rsidR="00BC75AA" w:rsidRPr="00276CD9" w:rsidRDefault="00BC75AA" w:rsidP="00276CD9">
      <w:pPr>
        <w:pStyle w:val="a5"/>
        <w:ind w:firstLine="567"/>
      </w:pPr>
      <w:r w:rsidRPr="00276CD9">
        <w:lastRenderedPageBreak/>
        <w:t>Третя колегія суддів Другого сенату Конституційного Суду України з огляду на доводи, наведені суб’єктом права на конституційну скаргу, вважає за можливе поновити строк подання конституційної скарги.</w:t>
      </w:r>
    </w:p>
    <w:p w:rsidR="00BC75AA" w:rsidRPr="00276CD9" w:rsidRDefault="00BC75AA" w:rsidP="000304CE">
      <w:pPr>
        <w:pStyle w:val="a5"/>
        <w:spacing w:line="240" w:lineRule="auto"/>
        <w:ind w:firstLine="567"/>
      </w:pPr>
    </w:p>
    <w:p w:rsidR="00BC75AA" w:rsidRPr="00276CD9" w:rsidRDefault="00BC75AA" w:rsidP="00276CD9">
      <w:pPr>
        <w:pStyle w:val="a5"/>
        <w:ind w:firstLine="567"/>
      </w:pPr>
      <w:r w:rsidRPr="00276CD9">
        <w:t>2.2. 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є прийнятною за умов її відповідності вимогам, визначеним статтями 55, 56 цього закону (абзац перший частини першої статті 77).</w:t>
      </w:r>
    </w:p>
    <w:p w:rsidR="00BC75AA" w:rsidRPr="00276CD9" w:rsidRDefault="00BC75AA" w:rsidP="00276CD9">
      <w:pPr>
        <w:pStyle w:val="a5"/>
        <w:ind w:firstLine="567"/>
      </w:pPr>
      <w:r w:rsidRPr="00276CD9">
        <w:t>Зі змісту конституційної скарги убачається, що Гнезділов С.О., цитуючи приписи Конституції України, Кодексу, не навів аргументів щодо неконституційності абзацу восьмого частини четвертої статті 183 Кодексу, а лише висловив незгоду із судовими рішеннями в його справі, із законодавчим регулюванням обрання запобіжного заходу у виді тримання під вартою у кримінальному провадженні щодо злочинів, визначених статтями 109‒114</w:t>
      </w:r>
      <w:r w:rsidRPr="00276CD9">
        <w:rPr>
          <w:vertAlign w:val="superscript"/>
        </w:rPr>
        <w:t>2</w:t>
      </w:r>
      <w:r w:rsidRPr="00276CD9">
        <w:t>,</w:t>
      </w:r>
      <w:r w:rsidR="00276CD9">
        <w:br/>
      </w:r>
      <w:r w:rsidRPr="00276CD9">
        <w:t>258‒258</w:t>
      </w:r>
      <w:r w:rsidRPr="00276CD9">
        <w:rPr>
          <w:vertAlign w:val="superscript"/>
        </w:rPr>
        <w:t>5</w:t>
      </w:r>
      <w:r w:rsidRPr="00276CD9">
        <w:t>, 260, 261, 402–405, 407, 408, 429, 437‒442 КК України, а також із порядком реалізації установленого оспорюваними приписами Кодексу процесуального права слідчого судді, суду. Зокрема, автор клопотання висловлює припущення про дискримінаційний характер оспорюван</w:t>
      </w:r>
      <w:r w:rsidR="00174985">
        <w:t>их</w:t>
      </w:r>
      <w:r w:rsidRPr="00276CD9">
        <w:t xml:space="preserve"> припис</w:t>
      </w:r>
      <w:r w:rsidR="00174985">
        <w:t>ів Кодексу</w:t>
      </w:r>
      <w:r w:rsidRPr="00276CD9">
        <w:t>, проте не підкріплює його аргументами.</w:t>
      </w:r>
    </w:p>
    <w:p w:rsidR="00BC75AA" w:rsidRPr="00276CD9" w:rsidRDefault="00BC75AA" w:rsidP="00276CD9">
      <w:pPr>
        <w:pStyle w:val="a5"/>
        <w:ind w:firstLine="567"/>
      </w:pPr>
      <w:r w:rsidRPr="00276CD9">
        <w:t>Конституційний Суд України неодноразово вказував, що цитування Конституції України, наведення змісту законів України без аргументації невідповідності Конституції України оспорюваних норм закону України не є обґрунтуванням тверджень щодо їх неконституційності [ухвали Великої палати Конституційного Суду України від 2</w:t>
      </w:r>
      <w:r w:rsidR="00276CD9">
        <w:t>4 травня 2018 року № 23-у/2018,</w:t>
      </w:r>
      <w:r w:rsidRPr="00276CD9">
        <w:br/>
        <w:t xml:space="preserve">від 24 травня 2018 року № 24-у/2018, від 31 травня 2018 року № 27-у/2018, </w:t>
      </w:r>
      <w:r w:rsidRPr="00276CD9">
        <w:br/>
        <w:t xml:space="preserve">від 7 червня 2018 року № 34-у/2018, Ухвала Першого сенату Конституційного </w:t>
      </w:r>
      <w:r w:rsidRPr="00276CD9">
        <w:lastRenderedPageBreak/>
        <w:t>Суду України від 22 березня 2023 року № 3-уп(І)/2023]; незгоду із законодавчим регулюванням, судовими рішеннями у справі не можна вважати обґрунтуванням тверджень щодо неконституційності оспорюваних приписів закону [ухвали Другого сенату Конституційного Суду України від 6 червня 2018 року</w:t>
      </w:r>
      <w:r w:rsidR="00276CD9">
        <w:br/>
      </w:r>
      <w:r w:rsidRPr="00276CD9">
        <w:t>№ 17-у(ІІ)/2018, від 17 липня 2019 року № 49-у(II)/2019, від 15 вересня 2021 року № 14-у(II)/2021, від 23 лютого 2022 року № 5-у(II)/2022, від 7 вересня 2022 року № 5-уп(II)/2022]; припущення не можна вважати аргументами на підтвердження неконституційності правових актів чи їх окремих приписів (ухвали Великої палати Конституційного Суду України від 13 листопада 2018 року № 69-у/2018, від 18 квітня 2019 року № 18-у/2019).</w:t>
      </w:r>
    </w:p>
    <w:p w:rsidR="00BC75AA" w:rsidRPr="00276CD9" w:rsidRDefault="00BC75AA" w:rsidP="00276C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t>Гнезділов С.О. не обґрунтував тверджень щодо неконституційності абзацу</w:t>
      </w:r>
      <w:r w:rsidR="00276CD9">
        <w:rPr>
          <w:rFonts w:ascii="Times New Roman" w:hAnsi="Times New Roman"/>
          <w:sz w:val="28"/>
          <w:szCs w:val="28"/>
        </w:rPr>
        <w:t> </w:t>
      </w:r>
      <w:r w:rsidRPr="00276CD9">
        <w:rPr>
          <w:rFonts w:ascii="Times New Roman" w:hAnsi="Times New Roman"/>
          <w:sz w:val="28"/>
          <w:szCs w:val="28"/>
        </w:rPr>
        <w:t>восьмого частини четвертої статті 183 Кодексу, а отже, не дотримав вимог пункту 6 частини другої статті 55 Закону України „Про Конституційний Суд України“, що є підставою для відмови у відкритті конституційного провадження у справі згідно з пунктом 4 статті 62 цього закону – неприйнятність конституційної скарги.</w:t>
      </w:r>
    </w:p>
    <w:p w:rsidR="00276CD9" w:rsidRDefault="00276CD9" w:rsidP="00276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75AA" w:rsidRPr="00276CD9" w:rsidRDefault="00BC75AA" w:rsidP="00276C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276CD9">
        <w:rPr>
          <w:rFonts w:ascii="Times New Roman" w:hAnsi="Times New Roman"/>
          <w:sz w:val="28"/>
          <w:szCs w:val="28"/>
          <w:vertAlign w:val="superscript"/>
        </w:rPr>
        <w:t>1</w:t>
      </w:r>
      <w:r w:rsidRPr="00276CD9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BC75AA" w:rsidRPr="00276CD9" w:rsidRDefault="00BC75AA" w:rsidP="00276CD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C75AA" w:rsidRPr="00276CD9" w:rsidRDefault="00BC75AA" w:rsidP="00276CD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76CD9">
        <w:rPr>
          <w:rFonts w:ascii="Times New Roman" w:hAnsi="Times New Roman"/>
          <w:b/>
          <w:sz w:val="28"/>
          <w:szCs w:val="28"/>
        </w:rPr>
        <w:t>у х в а л и л а:</w:t>
      </w:r>
    </w:p>
    <w:p w:rsidR="00BC75AA" w:rsidRPr="00276CD9" w:rsidRDefault="00BC75AA" w:rsidP="00276C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75AA" w:rsidRPr="00276CD9" w:rsidRDefault="00BC75AA" w:rsidP="00276C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t>1. Відмовити у відкритті конституційного провадження у справі за конституційною скаргою Гнезділова Сергія Олексійовича щодо відповідності Конституції України (конституційності) абзацу восьмого частини четвертої статті 183 Кримінального процесуального кодексу України на підставі пункту 4 статті 62 Закону України „Про Конституційний Суд України“ – неприйнятність конституційної скарги.</w:t>
      </w:r>
    </w:p>
    <w:p w:rsidR="00BC75AA" w:rsidRDefault="00BC75AA" w:rsidP="00276C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CD9">
        <w:rPr>
          <w:rFonts w:ascii="Times New Roman" w:hAnsi="Times New Roman"/>
          <w:sz w:val="28"/>
          <w:szCs w:val="28"/>
        </w:rPr>
        <w:lastRenderedPageBreak/>
        <w:t>2. Ухвала Третьої колегії суддів Другого сенату Конституційного Суду України є остаточною.</w:t>
      </w:r>
    </w:p>
    <w:p w:rsidR="0099393B" w:rsidRDefault="0099393B" w:rsidP="009939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393B" w:rsidRDefault="0099393B" w:rsidP="009939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393B" w:rsidRDefault="0099393B" w:rsidP="009939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393B" w:rsidRPr="0099393B" w:rsidRDefault="0099393B" w:rsidP="0099393B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393B">
        <w:rPr>
          <w:rFonts w:ascii="Times New Roman" w:hAnsi="Times New Roman"/>
          <w:b/>
          <w:caps/>
          <w:sz w:val="28"/>
          <w:szCs w:val="28"/>
        </w:rPr>
        <w:t>Третя колегія суддів</w:t>
      </w:r>
    </w:p>
    <w:p w:rsidR="0099393B" w:rsidRPr="0099393B" w:rsidRDefault="0099393B" w:rsidP="0099393B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393B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99393B" w:rsidRPr="0099393B" w:rsidRDefault="0099393B" w:rsidP="0099393B">
      <w:pPr>
        <w:spacing w:after="0" w:line="240" w:lineRule="auto"/>
        <w:ind w:left="3119"/>
        <w:jc w:val="center"/>
        <w:rPr>
          <w:rFonts w:ascii="Times New Roman" w:hAnsi="Times New Roman"/>
          <w:b/>
          <w:caps/>
          <w:sz w:val="28"/>
          <w:szCs w:val="28"/>
        </w:rPr>
      </w:pPr>
      <w:r w:rsidRPr="0099393B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p w:rsidR="0099393B" w:rsidRPr="00276CD9" w:rsidRDefault="0099393B" w:rsidP="009939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C75AA" w:rsidRDefault="00BC75AA" w:rsidP="00276CD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4CE" w:rsidRPr="000304CE" w:rsidRDefault="000304CE" w:rsidP="0074477B">
      <w:pPr>
        <w:spacing w:after="0" w:line="360" w:lineRule="auto"/>
        <w:ind w:firstLine="567"/>
        <w:jc w:val="both"/>
        <w:rPr>
          <w:rFonts w:ascii="Times New Roman" w:hAnsi="Times New Roman"/>
          <w:sz w:val="2"/>
          <w:szCs w:val="2"/>
        </w:rPr>
      </w:pPr>
    </w:p>
    <w:sectPr w:rsidR="000304CE" w:rsidRPr="000304CE" w:rsidSect="00276CD9">
      <w:headerReference w:type="default" r:id="rId21"/>
      <w:footerReference w:type="default" r:id="rId22"/>
      <w:footerReference w:type="first" r:id="rId2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D9" w:rsidRDefault="00276CD9" w:rsidP="00276CD9">
      <w:pPr>
        <w:spacing w:after="0" w:line="240" w:lineRule="auto"/>
      </w:pPr>
      <w:r>
        <w:separator/>
      </w:r>
    </w:p>
  </w:endnote>
  <w:endnote w:type="continuationSeparator" w:id="0">
    <w:p w:rsidR="00276CD9" w:rsidRDefault="00276CD9" w:rsidP="0027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CD9" w:rsidRPr="000304CE" w:rsidRDefault="000304CE">
    <w:pPr>
      <w:pStyle w:val="a8"/>
      <w:rPr>
        <w:rFonts w:ascii="Times New Roman" w:hAnsi="Times New Roman"/>
        <w:sz w:val="10"/>
        <w:szCs w:val="10"/>
      </w:rPr>
    </w:pPr>
    <w:r w:rsidRPr="000304CE">
      <w:rPr>
        <w:rFonts w:ascii="Times New Roman" w:hAnsi="Times New Roman"/>
        <w:sz w:val="10"/>
        <w:szCs w:val="10"/>
      </w:rPr>
      <w:fldChar w:fldCharType="begin"/>
    </w:r>
    <w:r w:rsidRPr="000304CE">
      <w:rPr>
        <w:rFonts w:ascii="Times New Roman" w:hAnsi="Times New Roman"/>
        <w:sz w:val="10"/>
        <w:szCs w:val="10"/>
      </w:rPr>
      <w:instrText xml:space="preserve"> FILENAME \p \* MERGEFORMAT </w:instrText>
    </w:r>
    <w:r w:rsidRPr="000304CE">
      <w:rPr>
        <w:rFonts w:ascii="Times New Roman" w:hAnsi="Times New Roman"/>
        <w:sz w:val="10"/>
        <w:szCs w:val="10"/>
      </w:rPr>
      <w:fldChar w:fldCharType="separate"/>
    </w:r>
    <w:r w:rsidR="0099393B">
      <w:rPr>
        <w:rFonts w:ascii="Times New Roman" w:hAnsi="Times New Roman"/>
        <w:noProof/>
        <w:sz w:val="10"/>
        <w:szCs w:val="10"/>
      </w:rPr>
      <w:t>G:\2025\Suddi\II senat\III koleg\11..docx</w:t>
    </w:r>
    <w:r w:rsidRPr="000304CE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CD9" w:rsidRPr="000304CE" w:rsidRDefault="000304CE">
    <w:pPr>
      <w:pStyle w:val="a8"/>
      <w:rPr>
        <w:rFonts w:ascii="Times New Roman" w:hAnsi="Times New Roman"/>
        <w:sz w:val="10"/>
        <w:szCs w:val="10"/>
      </w:rPr>
    </w:pPr>
    <w:r w:rsidRPr="000304CE">
      <w:rPr>
        <w:rFonts w:ascii="Times New Roman" w:hAnsi="Times New Roman"/>
        <w:sz w:val="10"/>
        <w:szCs w:val="10"/>
      </w:rPr>
      <w:fldChar w:fldCharType="begin"/>
    </w:r>
    <w:r w:rsidRPr="000304CE">
      <w:rPr>
        <w:rFonts w:ascii="Times New Roman" w:hAnsi="Times New Roman"/>
        <w:sz w:val="10"/>
        <w:szCs w:val="10"/>
      </w:rPr>
      <w:instrText xml:space="preserve"> FILENAME \p \* MERGEFORMAT </w:instrText>
    </w:r>
    <w:r w:rsidRPr="000304CE">
      <w:rPr>
        <w:rFonts w:ascii="Times New Roman" w:hAnsi="Times New Roman"/>
        <w:sz w:val="10"/>
        <w:szCs w:val="10"/>
      </w:rPr>
      <w:fldChar w:fldCharType="separate"/>
    </w:r>
    <w:r w:rsidR="0099393B">
      <w:rPr>
        <w:rFonts w:ascii="Times New Roman" w:hAnsi="Times New Roman"/>
        <w:noProof/>
        <w:sz w:val="10"/>
        <w:szCs w:val="10"/>
      </w:rPr>
      <w:t>G:\2025\Suddi\II senat\III koleg\11..docx</w:t>
    </w:r>
    <w:r w:rsidRPr="000304CE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D9" w:rsidRDefault="00276CD9" w:rsidP="00276CD9">
      <w:pPr>
        <w:spacing w:after="0" w:line="240" w:lineRule="auto"/>
      </w:pPr>
      <w:r>
        <w:separator/>
      </w:r>
    </w:p>
  </w:footnote>
  <w:footnote w:type="continuationSeparator" w:id="0">
    <w:p w:rsidR="00276CD9" w:rsidRDefault="00276CD9" w:rsidP="0027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594589"/>
      <w:docPartObj>
        <w:docPartGallery w:val="Page Numbers (Top of Page)"/>
        <w:docPartUnique/>
      </w:docPartObj>
    </w:sdtPr>
    <w:sdtEndPr/>
    <w:sdtContent>
      <w:p w:rsidR="00276CD9" w:rsidRDefault="00276CD9">
        <w:pPr>
          <w:pStyle w:val="a6"/>
          <w:jc w:val="center"/>
        </w:pPr>
        <w:r w:rsidRPr="00276CD9">
          <w:rPr>
            <w:rFonts w:ascii="Times New Roman" w:hAnsi="Times New Roman"/>
            <w:sz w:val="28"/>
            <w:szCs w:val="28"/>
          </w:rPr>
          <w:fldChar w:fldCharType="begin"/>
        </w:r>
        <w:r w:rsidRPr="00276CD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76CD9">
          <w:rPr>
            <w:rFonts w:ascii="Times New Roman" w:hAnsi="Times New Roman"/>
            <w:sz w:val="28"/>
            <w:szCs w:val="28"/>
          </w:rPr>
          <w:fldChar w:fldCharType="separate"/>
        </w:r>
        <w:r w:rsidR="00DB5558">
          <w:rPr>
            <w:rFonts w:ascii="Times New Roman" w:hAnsi="Times New Roman"/>
            <w:noProof/>
            <w:sz w:val="28"/>
            <w:szCs w:val="28"/>
          </w:rPr>
          <w:t>2</w:t>
        </w:r>
        <w:r w:rsidRPr="00276CD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AA"/>
    <w:rsid w:val="000304CE"/>
    <w:rsid w:val="00174985"/>
    <w:rsid w:val="00203782"/>
    <w:rsid w:val="00236EA4"/>
    <w:rsid w:val="00276CD9"/>
    <w:rsid w:val="002D3CA9"/>
    <w:rsid w:val="004320B8"/>
    <w:rsid w:val="00596FCE"/>
    <w:rsid w:val="006230AD"/>
    <w:rsid w:val="0074477B"/>
    <w:rsid w:val="00854539"/>
    <w:rsid w:val="008641F5"/>
    <w:rsid w:val="0099393B"/>
    <w:rsid w:val="00AB267C"/>
    <w:rsid w:val="00BC75AA"/>
    <w:rsid w:val="00BD025F"/>
    <w:rsid w:val="00DB5558"/>
    <w:rsid w:val="00EF2816"/>
    <w:rsid w:val="00F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B61F6-8AAE-4EC7-9BB4-4C9C61D9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AA"/>
    <w:pPr>
      <w:spacing w:after="160" w:line="256" w:lineRule="auto"/>
    </w:pPr>
    <w:rPr>
      <w:rFonts w:ascii="Calibri" w:eastAsia="Times New Roman" w:hAnsi="Calibri"/>
      <w:sz w:val="22"/>
    </w:rPr>
  </w:style>
  <w:style w:type="paragraph" w:styleId="1">
    <w:name w:val="heading 1"/>
    <w:basedOn w:val="a"/>
    <w:next w:val="a"/>
    <w:link w:val="10"/>
    <w:qFormat/>
    <w:rsid w:val="000304CE"/>
    <w:pPr>
      <w:keepNext/>
      <w:spacing w:after="0" w:line="240" w:lineRule="auto"/>
      <w:jc w:val="center"/>
      <w:outlineLvl w:val="0"/>
    </w:pPr>
    <w:rPr>
      <w:rFonts w:ascii="Peterburg" w:hAnsi="Peterburg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5AA"/>
    <w:rPr>
      <w:color w:val="0563C1" w:themeColor="hyperlink"/>
      <w:u w:val="single"/>
    </w:rPr>
  </w:style>
  <w:style w:type="character" w:customStyle="1" w:styleId="a4">
    <w:name w:val="СТАНДАРТ Знак"/>
    <w:link w:val="a5"/>
    <w:locked/>
    <w:rsid w:val="00BC75AA"/>
    <w:rPr>
      <w:rFonts w:eastAsia="Times New Roman"/>
      <w:szCs w:val="28"/>
    </w:rPr>
  </w:style>
  <w:style w:type="paragraph" w:customStyle="1" w:styleId="a5">
    <w:name w:val="СТАНДАРТ"/>
    <w:basedOn w:val="a"/>
    <w:link w:val="a4"/>
    <w:qFormat/>
    <w:rsid w:val="00BC75AA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nhideWhenUsed/>
    <w:rsid w:val="00276C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rsid w:val="00276CD9"/>
    <w:rPr>
      <w:rFonts w:ascii="Calibri" w:eastAsia="Times New Roman" w:hAnsi="Calibri"/>
      <w:sz w:val="22"/>
    </w:rPr>
  </w:style>
  <w:style w:type="paragraph" w:styleId="a8">
    <w:name w:val="footer"/>
    <w:basedOn w:val="a"/>
    <w:link w:val="a9"/>
    <w:uiPriority w:val="99"/>
    <w:unhideWhenUsed/>
    <w:rsid w:val="00276C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76CD9"/>
    <w:rPr>
      <w:rFonts w:ascii="Calibri" w:eastAsia="Times New Roman" w:hAnsi="Calibri"/>
      <w:sz w:val="22"/>
    </w:rPr>
  </w:style>
  <w:style w:type="character" w:customStyle="1" w:styleId="10">
    <w:name w:val="Заголовок 1 Знак"/>
    <w:basedOn w:val="a0"/>
    <w:link w:val="1"/>
    <w:rsid w:val="000304CE"/>
    <w:rPr>
      <w:rFonts w:ascii="Peterburg" w:eastAsia="Times New Roman" w:hAnsi="Peterburg"/>
      <w:b/>
      <w:sz w:val="32"/>
      <w:szCs w:val="20"/>
      <w:lang w:eastAsia="ru-RU"/>
    </w:rPr>
  </w:style>
  <w:style w:type="table" w:styleId="aa">
    <w:name w:val="Table Grid"/>
    <w:basedOn w:val="a1"/>
    <w:uiPriority w:val="39"/>
    <w:rsid w:val="000304CE"/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30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304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1-14" TargetMode="External"/><Relationship Id="rId13" Type="http://schemas.openxmlformats.org/officeDocument/2006/relationships/hyperlink" Target="https://zakon.rada.gov.ua/laws/show/2341-14" TargetMode="External"/><Relationship Id="rId18" Type="http://schemas.openxmlformats.org/officeDocument/2006/relationships/hyperlink" Target="https://zakon.rada.gov.ua/laws/show/2341-14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zakon.rada.gov.ua/laws/show/4651-17/conv" TargetMode="External"/><Relationship Id="rId12" Type="http://schemas.openxmlformats.org/officeDocument/2006/relationships/hyperlink" Target="https://zakon.rada.gov.ua/laws/show/2341-14" TargetMode="External"/><Relationship Id="rId17" Type="http://schemas.openxmlformats.org/officeDocument/2006/relationships/hyperlink" Target="https://zakon.rada.gov.ua/laws/show/2341-1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2341-14" TargetMode="External"/><Relationship Id="rId20" Type="http://schemas.openxmlformats.org/officeDocument/2006/relationships/hyperlink" Target="https://zakon.rada.gov.ua/laws/show/2341-14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651-17/conv" TargetMode="External"/><Relationship Id="rId11" Type="http://schemas.openxmlformats.org/officeDocument/2006/relationships/hyperlink" Target="https://zakon.rada.gov.ua/laws/show/2341-14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zakon.rada.gov.ua/laws/show/2341-14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zakon.rada.gov.ua/laws/show/2341-14" TargetMode="External"/><Relationship Id="rId19" Type="http://schemas.openxmlformats.org/officeDocument/2006/relationships/hyperlink" Target="https://zakon.rada.gov.ua/laws/show/2341-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2341-14" TargetMode="External"/><Relationship Id="rId14" Type="http://schemas.openxmlformats.org/officeDocument/2006/relationships/hyperlink" Target="https://zakon.rada.gov.ua/laws/show/2341-1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7615</Words>
  <Characters>4341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Олена Б. Алєксєйченко</cp:lastModifiedBy>
  <cp:revision>2</cp:revision>
  <cp:lastPrinted>2025-04-23T13:18:00Z</cp:lastPrinted>
  <dcterms:created xsi:type="dcterms:W3CDTF">2025-04-23T13:20:00Z</dcterms:created>
  <dcterms:modified xsi:type="dcterms:W3CDTF">2025-04-23T13:20:00Z</dcterms:modified>
</cp:coreProperties>
</file>