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CB63B4" w:rsidRDefault="00CB63B4" w:rsidP="00CB63B4">
      <w:pPr>
        <w:jc w:val="both"/>
        <w:rPr>
          <w:b/>
          <w:sz w:val="28"/>
          <w:szCs w:val="28"/>
          <w:lang w:val="uk-UA" w:eastAsia="uk-UA"/>
        </w:rPr>
      </w:pPr>
    </w:p>
    <w:p w:rsidR="004010E8" w:rsidRPr="00CB63B4" w:rsidRDefault="004010E8" w:rsidP="00CB63B4">
      <w:pPr>
        <w:tabs>
          <w:tab w:val="center" w:pos="4820"/>
        </w:tabs>
        <w:jc w:val="both"/>
        <w:rPr>
          <w:b/>
          <w:sz w:val="28"/>
          <w:szCs w:val="28"/>
          <w:lang w:val="uk-UA" w:eastAsia="uk-UA"/>
        </w:rPr>
      </w:pPr>
      <w:r w:rsidRPr="00CB63B4">
        <w:rPr>
          <w:b/>
          <w:sz w:val="28"/>
          <w:szCs w:val="28"/>
          <w:lang w:val="uk-UA" w:eastAsia="uk-UA"/>
        </w:rPr>
        <w:t xml:space="preserve">про відмову у відкритті конституційного провадження у справі за конституційною скаргою </w:t>
      </w:r>
      <w:proofErr w:type="spellStart"/>
      <w:r w:rsidRPr="00CB63B4">
        <w:rPr>
          <w:b/>
          <w:sz w:val="28"/>
          <w:szCs w:val="28"/>
          <w:lang w:val="uk-UA" w:eastAsia="uk-UA"/>
        </w:rPr>
        <w:t>Пашковського</w:t>
      </w:r>
      <w:proofErr w:type="spellEnd"/>
      <w:r w:rsidRPr="00CB63B4">
        <w:rPr>
          <w:b/>
          <w:sz w:val="28"/>
          <w:szCs w:val="28"/>
          <w:lang w:val="uk-UA" w:eastAsia="uk-UA"/>
        </w:rPr>
        <w:t xml:space="preserve"> Леоніда Івановича щодо відповідності Конституції України (конституційності) пункту 3</w:t>
      </w:r>
      <w:r w:rsidR="00CB63B4">
        <w:rPr>
          <w:b/>
          <w:sz w:val="28"/>
          <w:szCs w:val="28"/>
          <w:lang w:val="uk-UA" w:eastAsia="uk-UA"/>
        </w:rPr>
        <w:br/>
      </w:r>
      <w:r w:rsidR="00CB63B4">
        <w:rPr>
          <w:b/>
          <w:sz w:val="28"/>
          <w:szCs w:val="28"/>
          <w:lang w:val="uk-UA" w:eastAsia="uk-UA"/>
        </w:rPr>
        <w:tab/>
      </w:r>
      <w:r w:rsidRPr="00CB63B4">
        <w:rPr>
          <w:b/>
          <w:sz w:val="28"/>
          <w:szCs w:val="28"/>
          <w:lang w:val="uk-UA" w:eastAsia="uk-UA"/>
        </w:rPr>
        <w:t xml:space="preserve">частини другої статті 40 Житлового кодексу України </w:t>
      </w:r>
    </w:p>
    <w:p w:rsidR="004010E8" w:rsidRPr="00CB63B4" w:rsidRDefault="004010E8" w:rsidP="00CB63B4">
      <w:pPr>
        <w:jc w:val="both"/>
        <w:rPr>
          <w:b/>
          <w:sz w:val="28"/>
          <w:szCs w:val="28"/>
          <w:lang w:val="uk-UA" w:eastAsia="uk-UA"/>
        </w:rPr>
      </w:pPr>
    </w:p>
    <w:p w:rsidR="004010E8" w:rsidRPr="00CB63B4" w:rsidRDefault="004010E8" w:rsidP="00CB63B4">
      <w:pPr>
        <w:tabs>
          <w:tab w:val="right" w:pos="9638"/>
        </w:tabs>
        <w:jc w:val="both"/>
        <w:rPr>
          <w:sz w:val="28"/>
          <w:szCs w:val="28"/>
          <w:lang w:val="uk-UA" w:eastAsia="uk-UA"/>
        </w:rPr>
      </w:pPr>
      <w:r w:rsidRPr="00CB63B4">
        <w:rPr>
          <w:sz w:val="28"/>
          <w:szCs w:val="28"/>
          <w:lang w:val="uk-UA" w:eastAsia="uk-UA"/>
        </w:rPr>
        <w:t>К и ї в</w:t>
      </w:r>
      <w:r w:rsidRPr="00CB63B4">
        <w:rPr>
          <w:sz w:val="28"/>
          <w:szCs w:val="28"/>
          <w:lang w:val="uk-UA" w:eastAsia="uk-UA"/>
        </w:rPr>
        <w:tab/>
        <w:t>Справа № 3-164/2024(332/24)</w:t>
      </w:r>
    </w:p>
    <w:p w:rsidR="004010E8" w:rsidRPr="00CB63B4" w:rsidRDefault="000B43C2" w:rsidP="00CB63B4">
      <w:pPr>
        <w:jc w:val="both"/>
        <w:rPr>
          <w:sz w:val="28"/>
          <w:szCs w:val="28"/>
          <w:lang w:val="uk-UA" w:eastAsia="uk-UA"/>
        </w:rPr>
      </w:pPr>
      <w:r w:rsidRPr="00CB63B4">
        <w:rPr>
          <w:sz w:val="28"/>
          <w:szCs w:val="28"/>
          <w:lang w:val="uk-UA" w:eastAsia="uk-UA"/>
        </w:rPr>
        <w:t>15</w:t>
      </w:r>
      <w:r w:rsidR="00C554EF" w:rsidRPr="00CB63B4">
        <w:rPr>
          <w:sz w:val="28"/>
          <w:szCs w:val="28"/>
          <w:lang w:val="uk-UA" w:eastAsia="uk-UA"/>
        </w:rPr>
        <w:t xml:space="preserve"> </w:t>
      </w:r>
      <w:r w:rsidR="0020792A" w:rsidRPr="00CB63B4">
        <w:rPr>
          <w:sz w:val="28"/>
          <w:szCs w:val="28"/>
          <w:lang w:val="uk-UA" w:eastAsia="uk-UA"/>
        </w:rPr>
        <w:t>січня</w:t>
      </w:r>
      <w:r w:rsidR="004010E8" w:rsidRPr="00CB63B4">
        <w:rPr>
          <w:sz w:val="28"/>
          <w:szCs w:val="28"/>
          <w:lang w:val="uk-UA" w:eastAsia="uk-UA"/>
        </w:rPr>
        <w:t xml:space="preserve"> 202</w:t>
      </w:r>
      <w:r w:rsidR="0020792A" w:rsidRPr="00CB63B4">
        <w:rPr>
          <w:sz w:val="28"/>
          <w:szCs w:val="28"/>
          <w:lang w:val="uk-UA" w:eastAsia="uk-UA"/>
        </w:rPr>
        <w:t>5</w:t>
      </w:r>
      <w:r w:rsidR="004010E8" w:rsidRPr="00CB63B4">
        <w:rPr>
          <w:sz w:val="28"/>
          <w:szCs w:val="28"/>
          <w:lang w:val="uk-UA" w:eastAsia="uk-UA"/>
        </w:rPr>
        <w:t xml:space="preserve"> року</w:t>
      </w:r>
    </w:p>
    <w:p w:rsidR="004010E8" w:rsidRPr="00CB63B4" w:rsidRDefault="004010E8" w:rsidP="00CB63B4">
      <w:pPr>
        <w:jc w:val="both"/>
        <w:rPr>
          <w:sz w:val="28"/>
          <w:szCs w:val="28"/>
          <w:lang w:val="uk-UA" w:eastAsia="uk-UA"/>
        </w:rPr>
      </w:pPr>
      <w:r w:rsidRPr="00CB63B4">
        <w:rPr>
          <w:sz w:val="28"/>
          <w:szCs w:val="28"/>
          <w:lang w:val="uk-UA" w:eastAsia="uk-UA"/>
        </w:rPr>
        <w:t xml:space="preserve">№ </w:t>
      </w:r>
      <w:r w:rsidR="000B43C2" w:rsidRPr="00CB63B4">
        <w:rPr>
          <w:sz w:val="28"/>
          <w:szCs w:val="28"/>
          <w:lang w:val="uk-UA" w:eastAsia="uk-UA"/>
        </w:rPr>
        <w:t>1</w:t>
      </w:r>
      <w:r w:rsidR="003C6F0E" w:rsidRPr="00CB63B4">
        <w:rPr>
          <w:sz w:val="28"/>
          <w:szCs w:val="28"/>
          <w:lang w:val="uk-UA" w:eastAsia="uk-UA"/>
        </w:rPr>
        <w:t>-у</w:t>
      </w:r>
      <w:r w:rsidRPr="00CB63B4">
        <w:rPr>
          <w:sz w:val="28"/>
          <w:szCs w:val="28"/>
          <w:lang w:val="uk-UA" w:eastAsia="uk-UA"/>
        </w:rPr>
        <w:t>(ІІ)/202</w:t>
      </w:r>
      <w:r w:rsidR="0020792A" w:rsidRPr="00CB63B4">
        <w:rPr>
          <w:sz w:val="28"/>
          <w:szCs w:val="28"/>
          <w:lang w:val="uk-UA" w:eastAsia="uk-UA"/>
        </w:rPr>
        <w:t>5</w:t>
      </w:r>
    </w:p>
    <w:p w:rsidR="004010E8" w:rsidRPr="00CB63B4" w:rsidRDefault="004010E8" w:rsidP="00CB63B4">
      <w:pPr>
        <w:jc w:val="both"/>
        <w:rPr>
          <w:sz w:val="28"/>
          <w:szCs w:val="28"/>
          <w:lang w:val="uk-UA" w:eastAsia="uk-UA"/>
        </w:rPr>
      </w:pP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>Другий сенат Конституційного Суду України у складі: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>Мойсик Володимир Романович (голова засідання),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>Городовенко Віктор Валентинович,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>Лемак Василь Васильович,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Первомайський Олег Олексійович, 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>Різник Сергій Васильович (доповідач),</w:t>
      </w:r>
    </w:p>
    <w:p w:rsidR="004010E8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 w:eastAsia="uk-UA"/>
        </w:rPr>
        <w:t>Юровська Галина Валентинівна,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>розгляну</w:t>
      </w:r>
      <w:r w:rsidR="003C6F0E" w:rsidRPr="00CB63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питання </w:t>
      </w:r>
      <w:r w:rsidR="00D74545" w:rsidRPr="00CB63B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відкриття конституційного провадження у справі за конституційною скаргою 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Пашковського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Леоніда Івановича щодо відповідності Конституції України (конституційності) пункту 3 частини другої статті 40 Житлового кодексу України.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F0E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Різника С.В. та дослідивши матеріали справи, </w:t>
      </w:r>
      <w:r w:rsidR="003C6F0E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Другий сенат Конституційного Суду України </w:t>
      </w:r>
    </w:p>
    <w:p w:rsidR="008828B8" w:rsidRPr="00CB63B4" w:rsidRDefault="008828B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0E8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в:</w:t>
      </w:r>
    </w:p>
    <w:p w:rsidR="00657B54" w:rsidRPr="00CB63B4" w:rsidRDefault="00657B54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>1. Пашковськ</w:t>
      </w:r>
      <w:r w:rsidR="004F3BF3" w:rsidRPr="00CB63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й Л.І. звернувся до Конституційного Суду України з клопотанням (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>. № 18/332 від 10 вересня 2024 року) визнати пункт 3</w:t>
      </w:r>
      <w:r w:rsidR="00CB63B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частини другої статті 40 Житлового кодексу України (далі – Кодекс) таким, що не відповідає статтям 3, 8, 21, 24, 47 Конституції України.</w:t>
      </w:r>
    </w:p>
    <w:p w:rsidR="004010E8" w:rsidRPr="00CB63B4" w:rsidRDefault="00FD5BFF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4010E8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4010E8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3 частини другої статті 40 Кодексу г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ромадян знімають</w:t>
      </w:r>
      <w:r w:rsidR="004010E8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з обліку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187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, які</w:t>
      </w:r>
      <w:r w:rsidR="004010E8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752F" w:rsidRPr="00CB63B4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4010E8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поліпшення житлових умов</w:t>
      </w:r>
      <w:r w:rsidR="00D61A8B" w:rsidRPr="00CB63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10E8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„припинення трудових відносин з підприємством, установою, організацією особи, яка перебуває на обліку за місцем роботи, крім випадків, передбачених цим Кодексом та іншими актами законодавства України“.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0E8" w:rsidRPr="00CB63B4" w:rsidRDefault="004010E8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2. Зі змісту конституційної скарги та долучених до неї документів і матеріалів випливає таке.</w:t>
      </w:r>
    </w:p>
    <w:p w:rsidR="00565522" w:rsidRPr="00CB63B4" w:rsidRDefault="00D61A8B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CB63B4">
        <w:rPr>
          <w:sz w:val="28"/>
          <w:szCs w:val="28"/>
          <w:lang w:val="uk-UA"/>
        </w:rPr>
        <w:t>Пашковського</w:t>
      </w:r>
      <w:proofErr w:type="spellEnd"/>
      <w:r w:rsidRPr="00CB63B4">
        <w:rPr>
          <w:sz w:val="28"/>
          <w:szCs w:val="28"/>
          <w:lang w:val="uk-UA"/>
        </w:rPr>
        <w:t xml:space="preserve"> Л.І. </w:t>
      </w:r>
      <w:r w:rsidR="004010E8" w:rsidRPr="00CB63B4">
        <w:rPr>
          <w:sz w:val="28"/>
          <w:szCs w:val="28"/>
          <w:lang w:val="uk-UA"/>
        </w:rPr>
        <w:t xml:space="preserve">31 жовтня 2005 року </w:t>
      </w:r>
      <w:r w:rsidRPr="00CB63B4">
        <w:rPr>
          <w:sz w:val="28"/>
          <w:szCs w:val="28"/>
          <w:lang w:val="uk-UA"/>
        </w:rPr>
        <w:t>взято</w:t>
      </w:r>
      <w:r w:rsidR="00027302" w:rsidRPr="00CB63B4">
        <w:rPr>
          <w:sz w:val="28"/>
          <w:szCs w:val="28"/>
          <w:lang w:val="uk-UA"/>
        </w:rPr>
        <w:t xml:space="preserve"> </w:t>
      </w:r>
      <w:r w:rsidR="004010E8" w:rsidRPr="00CB63B4">
        <w:rPr>
          <w:sz w:val="28"/>
          <w:szCs w:val="28"/>
          <w:lang w:val="uk-UA"/>
        </w:rPr>
        <w:t>на квартирн</w:t>
      </w:r>
      <w:r w:rsidR="00027302" w:rsidRPr="00CB63B4">
        <w:rPr>
          <w:sz w:val="28"/>
          <w:szCs w:val="28"/>
          <w:lang w:val="uk-UA"/>
        </w:rPr>
        <w:t>ий облік</w:t>
      </w:r>
      <w:r w:rsidR="004010E8" w:rsidRPr="00CB63B4">
        <w:rPr>
          <w:sz w:val="28"/>
          <w:szCs w:val="28"/>
          <w:lang w:val="uk-UA"/>
        </w:rPr>
        <w:t xml:space="preserve"> </w:t>
      </w:r>
      <w:r w:rsidR="00FD567C" w:rsidRPr="00CB63B4">
        <w:rPr>
          <w:sz w:val="28"/>
          <w:szCs w:val="28"/>
          <w:lang w:val="uk-UA"/>
        </w:rPr>
        <w:t>у</w:t>
      </w:r>
      <w:r w:rsidR="004010E8" w:rsidRPr="00CB63B4">
        <w:rPr>
          <w:sz w:val="28"/>
          <w:szCs w:val="28"/>
          <w:lang w:val="uk-UA"/>
        </w:rPr>
        <w:t xml:space="preserve"> Солом’янській районній в місті Києві державній адміністрації </w:t>
      </w:r>
      <w:r w:rsidR="00565522" w:rsidRPr="00CB63B4">
        <w:rPr>
          <w:sz w:val="28"/>
          <w:szCs w:val="28"/>
          <w:lang w:val="uk-UA"/>
        </w:rPr>
        <w:t xml:space="preserve">за місцем проживання </w:t>
      </w:r>
      <w:r w:rsidR="004010E8" w:rsidRPr="00CB63B4">
        <w:rPr>
          <w:sz w:val="28"/>
          <w:szCs w:val="28"/>
          <w:lang w:val="uk-UA"/>
        </w:rPr>
        <w:t>як колишн</w:t>
      </w:r>
      <w:r w:rsidR="00027302" w:rsidRPr="00CB63B4">
        <w:rPr>
          <w:sz w:val="28"/>
          <w:szCs w:val="28"/>
          <w:lang w:val="uk-UA"/>
        </w:rPr>
        <w:t>ього</w:t>
      </w:r>
      <w:r w:rsidR="004010E8" w:rsidRPr="00CB63B4">
        <w:rPr>
          <w:sz w:val="28"/>
          <w:szCs w:val="28"/>
          <w:lang w:val="uk-UA"/>
        </w:rPr>
        <w:t xml:space="preserve"> працівник</w:t>
      </w:r>
      <w:r w:rsidR="00027302" w:rsidRPr="00CB63B4">
        <w:rPr>
          <w:sz w:val="28"/>
          <w:szCs w:val="28"/>
          <w:lang w:val="uk-UA"/>
        </w:rPr>
        <w:t>а</w:t>
      </w:r>
      <w:r w:rsidR="004010E8" w:rsidRPr="00CB63B4">
        <w:rPr>
          <w:sz w:val="28"/>
          <w:szCs w:val="28"/>
          <w:lang w:val="uk-UA"/>
        </w:rPr>
        <w:t xml:space="preserve"> міліції</w:t>
      </w:r>
      <w:r w:rsidR="007232F3" w:rsidRPr="00CB63B4">
        <w:rPr>
          <w:sz w:val="28"/>
          <w:szCs w:val="28"/>
          <w:lang w:val="uk-UA"/>
        </w:rPr>
        <w:t xml:space="preserve"> </w:t>
      </w:r>
      <w:r w:rsidRPr="00CB63B4">
        <w:rPr>
          <w:sz w:val="28"/>
          <w:szCs w:val="28"/>
          <w:lang w:val="uk-UA"/>
        </w:rPr>
        <w:t>за</w:t>
      </w:r>
      <w:r w:rsidR="004F3BF3" w:rsidRPr="00CB63B4">
        <w:rPr>
          <w:sz w:val="28"/>
          <w:szCs w:val="28"/>
          <w:lang w:val="uk-UA"/>
        </w:rPr>
        <w:t xml:space="preserve"> списка</w:t>
      </w:r>
      <w:r w:rsidRPr="00CB63B4">
        <w:rPr>
          <w:sz w:val="28"/>
          <w:szCs w:val="28"/>
          <w:lang w:val="uk-UA"/>
        </w:rPr>
        <w:t>ми</w:t>
      </w:r>
      <w:r w:rsidR="004F3BF3" w:rsidRPr="00CB63B4">
        <w:rPr>
          <w:sz w:val="28"/>
          <w:szCs w:val="28"/>
          <w:lang w:val="uk-UA"/>
        </w:rPr>
        <w:t xml:space="preserve"> осіб, які мають право на забезпечення житлом </w:t>
      </w:r>
      <w:r w:rsidRPr="00CB63B4">
        <w:rPr>
          <w:sz w:val="28"/>
          <w:szCs w:val="28"/>
          <w:lang w:val="uk-UA"/>
        </w:rPr>
        <w:t>у</w:t>
      </w:r>
      <w:r w:rsidR="004F3BF3" w:rsidRPr="00CB63B4">
        <w:rPr>
          <w:sz w:val="28"/>
          <w:szCs w:val="28"/>
          <w:lang w:val="uk-UA"/>
        </w:rPr>
        <w:t xml:space="preserve"> першочерговому порядку</w:t>
      </w:r>
      <w:r w:rsidR="004010E8" w:rsidRPr="00CB63B4">
        <w:rPr>
          <w:sz w:val="28"/>
          <w:szCs w:val="28"/>
          <w:lang w:val="uk-UA"/>
        </w:rPr>
        <w:t xml:space="preserve">. </w:t>
      </w:r>
      <w:r w:rsidR="00565522" w:rsidRPr="00CB63B4">
        <w:rPr>
          <w:sz w:val="28"/>
          <w:szCs w:val="28"/>
          <w:lang w:val="uk-UA"/>
        </w:rPr>
        <w:t xml:space="preserve">Крім того, </w:t>
      </w:r>
      <w:r w:rsidR="004010E8" w:rsidRPr="00CB63B4">
        <w:rPr>
          <w:sz w:val="28"/>
          <w:szCs w:val="28"/>
          <w:lang w:val="uk-UA"/>
        </w:rPr>
        <w:t>21 грудня</w:t>
      </w:r>
      <w:r w:rsidR="008828B8" w:rsidRPr="00CB63B4">
        <w:rPr>
          <w:sz w:val="28"/>
          <w:szCs w:val="28"/>
          <w:lang w:val="uk-UA"/>
        </w:rPr>
        <w:br/>
      </w:r>
      <w:r w:rsidR="004010E8" w:rsidRPr="00CB63B4">
        <w:rPr>
          <w:sz w:val="28"/>
          <w:szCs w:val="28"/>
          <w:lang w:val="uk-UA"/>
        </w:rPr>
        <w:t xml:space="preserve">2005 року </w:t>
      </w:r>
      <w:proofErr w:type="spellStart"/>
      <w:r w:rsidR="00565522" w:rsidRPr="00CB63B4">
        <w:rPr>
          <w:sz w:val="28"/>
          <w:szCs w:val="28"/>
          <w:lang w:val="uk-UA"/>
        </w:rPr>
        <w:t>Пашковськ</w:t>
      </w:r>
      <w:r w:rsidR="00D1617A" w:rsidRPr="00CB63B4">
        <w:rPr>
          <w:sz w:val="28"/>
          <w:szCs w:val="28"/>
          <w:lang w:val="uk-UA"/>
        </w:rPr>
        <w:t>ого</w:t>
      </w:r>
      <w:proofErr w:type="spellEnd"/>
      <w:r w:rsidR="00565522" w:rsidRPr="00CB63B4">
        <w:rPr>
          <w:sz w:val="28"/>
          <w:szCs w:val="28"/>
          <w:lang w:val="uk-UA"/>
        </w:rPr>
        <w:t xml:space="preserve"> Л.І. включен</w:t>
      </w:r>
      <w:r w:rsidR="00D1617A" w:rsidRPr="00CB63B4">
        <w:rPr>
          <w:sz w:val="28"/>
          <w:szCs w:val="28"/>
          <w:lang w:val="uk-UA"/>
        </w:rPr>
        <w:t xml:space="preserve">о </w:t>
      </w:r>
      <w:r w:rsidR="004010E8" w:rsidRPr="00CB63B4">
        <w:rPr>
          <w:sz w:val="28"/>
          <w:szCs w:val="28"/>
          <w:lang w:val="uk-UA"/>
        </w:rPr>
        <w:t>до контрольного списку працівників Національної академії внутрішніх справ України, які потребують поліпшення житлових умов і перебувають на квартирному обліку в районних державних адміністраціях</w:t>
      </w:r>
      <w:r w:rsidR="00EA377A" w:rsidRPr="00CB63B4">
        <w:rPr>
          <w:sz w:val="28"/>
          <w:szCs w:val="28"/>
          <w:lang w:val="uk-UA"/>
        </w:rPr>
        <w:t xml:space="preserve"> (далі – Контрольний список)</w:t>
      </w:r>
      <w:r w:rsidR="004010E8" w:rsidRPr="00CB63B4">
        <w:rPr>
          <w:sz w:val="28"/>
          <w:szCs w:val="28"/>
          <w:lang w:val="uk-UA"/>
        </w:rPr>
        <w:t xml:space="preserve">. </w:t>
      </w:r>
    </w:p>
    <w:p w:rsidR="00565522" w:rsidRPr="00CB63B4" w:rsidRDefault="004010E8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Наказом Національної академії внутрішніх справ (далі – Академія)</w:t>
      </w:r>
      <w:r w:rsidR="00565522" w:rsidRPr="00CB63B4">
        <w:rPr>
          <w:sz w:val="28"/>
          <w:szCs w:val="28"/>
          <w:lang w:val="uk-UA"/>
        </w:rPr>
        <w:t xml:space="preserve"> </w:t>
      </w:r>
      <w:r w:rsidR="00E71413" w:rsidRPr="00CB63B4">
        <w:rPr>
          <w:sz w:val="28"/>
          <w:szCs w:val="28"/>
          <w:lang w:val="uk-UA"/>
        </w:rPr>
        <w:t>від</w:t>
      </w:r>
      <w:r w:rsidR="008828B8" w:rsidRPr="00CB63B4">
        <w:rPr>
          <w:sz w:val="28"/>
          <w:szCs w:val="28"/>
          <w:lang w:val="uk-UA"/>
        </w:rPr>
        <w:br/>
      </w:r>
      <w:r w:rsidR="00E71413" w:rsidRPr="00CB63B4">
        <w:rPr>
          <w:sz w:val="28"/>
          <w:szCs w:val="28"/>
          <w:lang w:val="uk-UA"/>
        </w:rPr>
        <w:t xml:space="preserve">30 грудня </w:t>
      </w:r>
      <w:r w:rsidRPr="00CB63B4">
        <w:rPr>
          <w:sz w:val="28"/>
          <w:szCs w:val="28"/>
          <w:lang w:val="uk-UA"/>
        </w:rPr>
        <w:t xml:space="preserve">2010 року № 240 о/с </w:t>
      </w:r>
      <w:proofErr w:type="spellStart"/>
      <w:r w:rsidRPr="00CB63B4">
        <w:rPr>
          <w:sz w:val="28"/>
          <w:szCs w:val="28"/>
          <w:lang w:val="uk-UA"/>
        </w:rPr>
        <w:t>Пашковського</w:t>
      </w:r>
      <w:proofErr w:type="spellEnd"/>
      <w:r w:rsidRPr="00CB63B4">
        <w:rPr>
          <w:sz w:val="28"/>
          <w:szCs w:val="28"/>
          <w:lang w:val="uk-UA"/>
        </w:rPr>
        <w:t xml:space="preserve"> Л.І. звільнено зі служби в запас через хворобу, </w:t>
      </w:r>
      <w:r w:rsidR="00FD5BFF" w:rsidRPr="00CB63B4">
        <w:rPr>
          <w:sz w:val="28"/>
          <w:szCs w:val="28"/>
          <w:lang w:val="uk-UA"/>
        </w:rPr>
        <w:t>і</w:t>
      </w:r>
      <w:r w:rsidRPr="00CB63B4">
        <w:rPr>
          <w:sz w:val="28"/>
          <w:szCs w:val="28"/>
          <w:lang w:val="uk-UA"/>
        </w:rPr>
        <w:t>з 2011 року він є пенсіонером, отримує пенсію за вислугу років.</w:t>
      </w:r>
      <w:r w:rsidR="00C65120" w:rsidRPr="00CB63B4">
        <w:rPr>
          <w:sz w:val="28"/>
          <w:szCs w:val="28"/>
          <w:lang w:val="uk-UA"/>
        </w:rPr>
        <w:t xml:space="preserve"> </w:t>
      </w:r>
    </w:p>
    <w:p w:rsidR="004010E8" w:rsidRPr="00CB63B4" w:rsidRDefault="004010E8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У 2019 році </w:t>
      </w:r>
      <w:r w:rsidR="00061E15" w:rsidRPr="00CB63B4">
        <w:rPr>
          <w:sz w:val="28"/>
          <w:szCs w:val="28"/>
          <w:lang w:val="uk-UA"/>
        </w:rPr>
        <w:t>к</w:t>
      </w:r>
      <w:r w:rsidRPr="00CB63B4">
        <w:rPr>
          <w:sz w:val="28"/>
          <w:szCs w:val="28"/>
          <w:lang w:val="uk-UA"/>
        </w:rPr>
        <w:t xml:space="preserve">омісія </w:t>
      </w:r>
      <w:r w:rsidR="00D418C0" w:rsidRPr="00CB63B4">
        <w:rPr>
          <w:sz w:val="28"/>
          <w:szCs w:val="28"/>
          <w:lang w:val="uk-UA"/>
        </w:rPr>
        <w:t>і</w:t>
      </w:r>
      <w:r w:rsidRPr="00CB63B4">
        <w:rPr>
          <w:sz w:val="28"/>
          <w:szCs w:val="28"/>
          <w:lang w:val="uk-UA"/>
        </w:rPr>
        <w:t>з житлових питань Академії виключила</w:t>
      </w:r>
      <w:r w:rsidR="008828B8" w:rsidRPr="00CB63B4">
        <w:rPr>
          <w:sz w:val="28"/>
          <w:szCs w:val="28"/>
          <w:lang w:val="uk-UA"/>
        </w:rPr>
        <w:br/>
      </w:r>
      <w:proofErr w:type="spellStart"/>
      <w:r w:rsidRPr="00CB63B4">
        <w:rPr>
          <w:sz w:val="28"/>
          <w:szCs w:val="28"/>
          <w:lang w:val="uk-UA"/>
        </w:rPr>
        <w:t>Пашковського</w:t>
      </w:r>
      <w:proofErr w:type="spellEnd"/>
      <w:r w:rsidRPr="00CB63B4">
        <w:rPr>
          <w:sz w:val="28"/>
          <w:szCs w:val="28"/>
          <w:lang w:val="uk-UA"/>
        </w:rPr>
        <w:t xml:space="preserve"> Л.І. з </w:t>
      </w:r>
      <w:r w:rsidR="00EA377A" w:rsidRPr="00CB63B4">
        <w:rPr>
          <w:sz w:val="28"/>
          <w:szCs w:val="28"/>
          <w:lang w:val="uk-UA"/>
        </w:rPr>
        <w:t>К</w:t>
      </w:r>
      <w:r w:rsidRPr="00CB63B4">
        <w:rPr>
          <w:sz w:val="28"/>
          <w:szCs w:val="28"/>
          <w:lang w:val="uk-UA"/>
        </w:rPr>
        <w:t>онтрольного списку</w:t>
      </w:r>
      <w:r w:rsidR="00565522" w:rsidRPr="00CB63B4">
        <w:rPr>
          <w:sz w:val="28"/>
          <w:szCs w:val="28"/>
          <w:lang w:val="uk-UA"/>
        </w:rPr>
        <w:t xml:space="preserve">, </w:t>
      </w:r>
      <w:r w:rsidR="00D418C0" w:rsidRPr="00CB63B4">
        <w:rPr>
          <w:sz w:val="28"/>
          <w:szCs w:val="28"/>
          <w:lang w:val="uk-UA"/>
        </w:rPr>
        <w:t>і</w:t>
      </w:r>
      <w:r w:rsidR="00565522" w:rsidRPr="00CB63B4">
        <w:rPr>
          <w:sz w:val="28"/>
          <w:szCs w:val="28"/>
          <w:lang w:val="uk-UA"/>
        </w:rPr>
        <w:t xml:space="preserve">з чим він не погодився та звернувся </w:t>
      </w:r>
      <w:r w:rsidR="00D418C0" w:rsidRPr="00CB63B4">
        <w:rPr>
          <w:sz w:val="28"/>
          <w:szCs w:val="28"/>
          <w:lang w:val="uk-UA"/>
        </w:rPr>
        <w:t xml:space="preserve">до суду </w:t>
      </w:r>
      <w:r w:rsidR="00565522" w:rsidRPr="00CB63B4">
        <w:rPr>
          <w:sz w:val="28"/>
          <w:szCs w:val="28"/>
          <w:lang w:val="uk-UA"/>
        </w:rPr>
        <w:t>з позовом, у якому просив</w:t>
      </w:r>
      <w:r w:rsidR="00D418C0" w:rsidRPr="00CB63B4">
        <w:rPr>
          <w:sz w:val="28"/>
          <w:szCs w:val="28"/>
          <w:lang w:val="uk-UA"/>
        </w:rPr>
        <w:t>, зокрема,</w:t>
      </w:r>
      <w:r w:rsidRPr="00CB63B4">
        <w:rPr>
          <w:sz w:val="28"/>
          <w:szCs w:val="28"/>
          <w:lang w:val="uk-UA"/>
        </w:rPr>
        <w:t xml:space="preserve"> „визнати протиправним та скасувати індивідуальний акт, який оформлено протоколом засідання комісії з житлових </w:t>
      </w:r>
      <w:r w:rsidR="00F74A81" w:rsidRPr="00CB63B4">
        <w:rPr>
          <w:sz w:val="28"/>
          <w:szCs w:val="28"/>
          <w:lang w:val="uk-UA"/>
        </w:rPr>
        <w:t>питань</w:t>
      </w:r>
      <w:r w:rsidRPr="00CB63B4">
        <w:rPr>
          <w:sz w:val="28"/>
          <w:szCs w:val="28"/>
          <w:lang w:val="uk-UA"/>
        </w:rPr>
        <w:t xml:space="preserve"> Національної академії внутрішніх справ № 1 від 05.04.2019, в частині рішення про виключення позивача з контрольного списку працівників академії, які потребують поліпшення житлових умов і перебувають на квартирному обліку в районних державних адміністраціях; зобов’язати відповідача поновити </w:t>
      </w:r>
      <w:r w:rsidRPr="00CB63B4">
        <w:rPr>
          <w:sz w:val="28"/>
          <w:szCs w:val="28"/>
          <w:lang w:val="uk-UA"/>
        </w:rPr>
        <w:lastRenderedPageBreak/>
        <w:t>позивача в контрольному списку працівників Національної академії внутрішніх справ, які потребують поліпшення житлових умов і перебувають на квартирному обліку в районних державних адміністраціях“.</w:t>
      </w:r>
    </w:p>
    <w:p w:rsidR="00C65120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окружний адміністративний суд </w:t>
      </w:r>
      <w:r w:rsidR="00CB63B4">
        <w:rPr>
          <w:rFonts w:ascii="Times New Roman" w:hAnsi="Times New Roman" w:cs="Times New Roman"/>
          <w:sz w:val="28"/>
          <w:szCs w:val="28"/>
          <w:lang w:val="uk-UA"/>
        </w:rPr>
        <w:t>рішенням від 29 лютого</w:t>
      </w:r>
      <w:r w:rsidR="00CB63B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2024 року відмовив 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Пашковсько</w:t>
      </w:r>
      <w:r w:rsidR="00AE5086" w:rsidRPr="00CB63B4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Л.І. у задоволенні адміністративного позову.</w:t>
      </w:r>
      <w:r w:rsidR="00C65120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Шостий апеляційний адміністративний суд постановою від 17 травня 2024 року апеляційну скаргу 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Пашковського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Л.І. залишив без задоволення, а рішення Київського окружного адміністративного суду від 29 лютого 2024 року</w:t>
      </w:r>
      <w:r w:rsidR="00FD567C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B63B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без змін</w:t>
      </w:r>
      <w:r w:rsidR="0020792A" w:rsidRPr="00CB63B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65120" w:rsidRPr="00CB63B4" w:rsidRDefault="00C65120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Відмовляючи у задоволенні позовних вимог, суд </w:t>
      </w:r>
      <w:r w:rsidR="006C05F8" w:rsidRPr="00CB63B4">
        <w:rPr>
          <w:sz w:val="28"/>
          <w:szCs w:val="28"/>
          <w:lang w:val="uk-UA"/>
        </w:rPr>
        <w:t>першої</w:t>
      </w:r>
      <w:r w:rsidRPr="00CB63B4">
        <w:rPr>
          <w:sz w:val="28"/>
          <w:szCs w:val="28"/>
          <w:lang w:val="uk-UA"/>
        </w:rPr>
        <w:t xml:space="preserve"> інстанції </w:t>
      </w:r>
      <w:r w:rsidR="006C05F8" w:rsidRPr="00CB63B4">
        <w:rPr>
          <w:sz w:val="28"/>
          <w:szCs w:val="28"/>
          <w:lang w:val="uk-UA"/>
        </w:rPr>
        <w:t>звернув увагу на</w:t>
      </w:r>
      <w:r w:rsidRPr="00CB63B4">
        <w:rPr>
          <w:sz w:val="28"/>
          <w:szCs w:val="28"/>
          <w:lang w:val="uk-UA"/>
        </w:rPr>
        <w:t xml:space="preserve"> „відмінність правового регулювання у веденні квартирного обліку в</w:t>
      </w:r>
      <w:r w:rsidR="00E9012C" w:rsidRPr="00CB63B4">
        <w:rPr>
          <w:sz w:val="28"/>
          <w:szCs w:val="28"/>
          <w:lang w:val="uk-UA"/>
        </w:rPr>
        <w:t>ід ведення контрольного списку</w:t>
      </w:r>
      <w:r w:rsidR="00FD567C" w:rsidRPr="00CB63B4">
        <w:rPr>
          <w:sz w:val="28"/>
          <w:szCs w:val="28"/>
          <w:lang w:val="uk-UA"/>
        </w:rPr>
        <w:t>“</w:t>
      </w:r>
      <w:r w:rsidR="006C05F8" w:rsidRPr="00CB63B4">
        <w:rPr>
          <w:sz w:val="28"/>
          <w:szCs w:val="28"/>
          <w:lang w:val="uk-UA"/>
        </w:rPr>
        <w:t xml:space="preserve">, а суд апеляційної інстанції, підтримуючи доводи суду першої інстанції, </w:t>
      </w:r>
      <w:r w:rsidR="00FD567C" w:rsidRPr="00CB63B4">
        <w:rPr>
          <w:sz w:val="28"/>
          <w:szCs w:val="28"/>
          <w:lang w:val="uk-UA"/>
        </w:rPr>
        <w:t>за</w:t>
      </w:r>
      <w:r w:rsidRPr="00CB63B4">
        <w:rPr>
          <w:sz w:val="28"/>
          <w:szCs w:val="28"/>
          <w:lang w:val="uk-UA"/>
        </w:rPr>
        <w:t>значив, що „виключення позивача з контрольного списку НАВС жодним чином не впливає на його облік як громадянина, який потребує поліпшення житлових умов“.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Колегія суддів Касаційного адміністративного суду у складі Верховного Суду ухвалою від 20 червня 2024 року відмовила 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Пашковському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Л.І. у відкритті касаційного провадження.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3. Суб’єкт права на конституційну скаргу стверджує, що застосування в судових рішеннях </w:t>
      </w:r>
      <w:r w:rsidR="00FD567C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у його справі 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пункту 3 частини другої статті 40 Кодексу спричинило порушення його права на житло, </w:t>
      </w:r>
      <w:r w:rsidR="0086267A" w:rsidRPr="00CB63B4">
        <w:rPr>
          <w:rFonts w:ascii="Times New Roman" w:hAnsi="Times New Roman" w:cs="Times New Roman"/>
          <w:sz w:val="28"/>
          <w:szCs w:val="28"/>
          <w:lang w:val="uk-UA"/>
        </w:rPr>
        <w:t>закріпленого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статтею 47 Конституції України</w:t>
      </w:r>
      <w:r w:rsidR="0086668F" w:rsidRPr="00CB63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На думку 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Пашковського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86267A" w:rsidRPr="00CB63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„суди ототожнили</w:t>
      </w:r>
      <w:r w:rsidR="0086267A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67A" w:rsidRPr="00CB63B4">
        <w:rPr>
          <w:rFonts w:ascii="Times New Roman" w:hAnsi="Times New Roman" w:cs="Times New Roman"/>
          <w:sz w:val="28"/>
          <w:szCs w:val="28"/>
        </w:rPr>
        <w:t>&lt;…&gt;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звільнення за станом здоров’я та досягнення права на пенсійне забезпечення і вихід на пенсію як звільнення за власним бажанням. Такою мотивацією суди ставлять право людини перебувати на обліку осіб, які потребують поліпшення житлових умов, в залежність від реалізації людиною своїх прав на соціальний захист та на пенсійне забезпечення“.</w:t>
      </w:r>
      <w:r w:rsidR="00C65120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Суб’єкт права на конституційну скаргу вважає</w:t>
      </w:r>
      <w:r w:rsidR="00FD567C"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що „судами створено обставини, які обумовлюють висновок про дискримінацію. Зокрема, право на облік у контрольному списку для поліпшення житлових умов і подальше отримання житла мають лише особи, які продовжують перебувати в трудових відносинах, а саме </w:t>
      </w:r>
      <w:r w:rsidR="0086267A" w:rsidRPr="00CB63B4">
        <w:rPr>
          <w:rFonts w:ascii="Times New Roman" w:hAnsi="Times New Roman" w:cs="Times New Roman"/>
          <w:sz w:val="28"/>
          <w:szCs w:val="28"/>
        </w:rPr>
        <w:t>&lt;…&gt;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перебувати на службі в Академії внутрішніх справ“.</w:t>
      </w:r>
    </w:p>
    <w:p w:rsidR="00740B20" w:rsidRPr="00CB63B4" w:rsidRDefault="00740B20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</w:p>
    <w:p w:rsidR="003C6F0E" w:rsidRPr="00CB63B4" w:rsidRDefault="00E47334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4. </w:t>
      </w:r>
      <w:r w:rsidR="003C6F0E" w:rsidRPr="00CB63B4">
        <w:rPr>
          <w:sz w:val="28"/>
          <w:szCs w:val="28"/>
          <w:lang w:val="uk-UA"/>
        </w:rPr>
        <w:t xml:space="preserve">Другий сенат Конституційного Суду України, розв’язуючи питання щодо відкриття конституційного провадження у справі у зв’язку з ухваленням </w:t>
      </w:r>
      <w:proofErr w:type="spellStart"/>
      <w:r w:rsidR="003C6F0E" w:rsidRPr="00CB63B4">
        <w:rPr>
          <w:sz w:val="28"/>
          <w:szCs w:val="28"/>
          <w:lang w:val="uk-UA"/>
        </w:rPr>
        <w:t>неодностайно</w:t>
      </w:r>
      <w:proofErr w:type="spellEnd"/>
      <w:r w:rsidR="003C6F0E" w:rsidRPr="00CB63B4">
        <w:rPr>
          <w:sz w:val="28"/>
          <w:szCs w:val="28"/>
          <w:lang w:val="uk-UA"/>
        </w:rPr>
        <w:t xml:space="preserve"> Третьою колегією суддів Другого сенату Конституційного Суду України Ухвали від 6 листопада 2024 року № 221-3(II)/2024 про відмову у відкритті конституційного провадження в цій справі на підставі пункту 4</w:t>
      </w:r>
      <w:r w:rsidR="003C6F0E" w:rsidRPr="00CB63B4">
        <w:rPr>
          <w:sz w:val="28"/>
          <w:szCs w:val="28"/>
          <w:lang w:val="uk-UA"/>
        </w:rPr>
        <w:br/>
        <w:t>статті 62 Закону України „Про Конституційний Суд України“, виходить із такого.</w:t>
      </w:r>
    </w:p>
    <w:p w:rsidR="003C6F0E" w:rsidRPr="00CB63B4" w:rsidRDefault="003C6F0E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</w:p>
    <w:p w:rsidR="004010E8" w:rsidRPr="00CB63B4" w:rsidRDefault="003C6F0E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4.1. </w:t>
      </w:r>
      <w:r w:rsidR="008B4620" w:rsidRPr="00CB63B4">
        <w:rPr>
          <w:sz w:val="28"/>
          <w:szCs w:val="28"/>
          <w:lang w:val="uk-UA"/>
        </w:rPr>
        <w:t xml:space="preserve">Згідно </w:t>
      </w:r>
      <w:r w:rsidR="00E47334" w:rsidRPr="00CB63B4">
        <w:rPr>
          <w:sz w:val="28"/>
          <w:szCs w:val="28"/>
          <w:lang w:val="uk-UA"/>
        </w:rPr>
        <w:t xml:space="preserve">з </w:t>
      </w:r>
      <w:r w:rsidR="00FD567C" w:rsidRPr="00CB63B4">
        <w:rPr>
          <w:sz w:val="28"/>
          <w:szCs w:val="28"/>
          <w:lang w:val="uk-UA"/>
        </w:rPr>
        <w:t>пунктами 5,</w:t>
      </w:r>
      <w:r w:rsidR="008B4620" w:rsidRPr="00CB63B4">
        <w:rPr>
          <w:sz w:val="28"/>
          <w:szCs w:val="28"/>
          <w:lang w:val="uk-UA"/>
        </w:rPr>
        <w:t xml:space="preserve"> 6 </w:t>
      </w:r>
      <w:r w:rsidR="0095120B" w:rsidRPr="00CB63B4">
        <w:rPr>
          <w:sz w:val="28"/>
          <w:szCs w:val="28"/>
          <w:lang w:val="uk-UA"/>
        </w:rPr>
        <w:t>частини другої статті</w:t>
      </w:r>
      <w:r w:rsidR="008B4620" w:rsidRPr="00CB63B4">
        <w:rPr>
          <w:sz w:val="28"/>
          <w:szCs w:val="28"/>
          <w:lang w:val="uk-UA"/>
        </w:rPr>
        <w:t xml:space="preserve"> 55 </w:t>
      </w:r>
      <w:r w:rsidR="00E47334" w:rsidRPr="00CB63B4">
        <w:rPr>
          <w:sz w:val="28"/>
          <w:szCs w:val="28"/>
          <w:lang w:val="uk-UA"/>
        </w:rPr>
        <w:t>Закон</w:t>
      </w:r>
      <w:r w:rsidR="008B4620" w:rsidRPr="00CB63B4">
        <w:rPr>
          <w:sz w:val="28"/>
          <w:szCs w:val="28"/>
          <w:lang w:val="uk-UA"/>
        </w:rPr>
        <w:t>у</w:t>
      </w:r>
      <w:r w:rsidR="00E47334" w:rsidRPr="00CB63B4">
        <w:rPr>
          <w:sz w:val="28"/>
          <w:szCs w:val="28"/>
          <w:lang w:val="uk-UA"/>
        </w:rPr>
        <w:t xml:space="preserve"> України „П</w:t>
      </w:r>
      <w:r w:rsidR="00C65120" w:rsidRPr="00CB63B4">
        <w:rPr>
          <w:sz w:val="28"/>
          <w:szCs w:val="28"/>
          <w:lang w:val="uk-UA"/>
        </w:rPr>
        <w:t>ро Конституційний Суд України“</w:t>
      </w:r>
      <w:r w:rsidR="00E47334" w:rsidRPr="00CB63B4">
        <w:rPr>
          <w:sz w:val="28"/>
          <w:szCs w:val="28"/>
          <w:lang w:val="uk-UA"/>
        </w:rPr>
        <w:t xml:space="preserve"> </w:t>
      </w:r>
      <w:r w:rsidR="00E47334" w:rsidRPr="00CB63B4">
        <w:rPr>
          <w:sz w:val="28"/>
          <w:szCs w:val="28"/>
          <w:shd w:val="clear" w:color="auto" w:fill="FFFFFF"/>
          <w:lang w:val="uk-UA"/>
        </w:rPr>
        <w:t>конституційн</w:t>
      </w:r>
      <w:r w:rsidR="00FD567C" w:rsidRPr="00CB63B4">
        <w:rPr>
          <w:sz w:val="28"/>
          <w:szCs w:val="28"/>
          <w:shd w:val="clear" w:color="auto" w:fill="FFFFFF"/>
          <w:lang w:val="uk-UA"/>
        </w:rPr>
        <w:t>а</w:t>
      </w:r>
      <w:r w:rsidR="00E47334" w:rsidRPr="00CB63B4">
        <w:rPr>
          <w:sz w:val="28"/>
          <w:szCs w:val="28"/>
          <w:shd w:val="clear" w:color="auto" w:fill="FFFFFF"/>
          <w:lang w:val="uk-UA"/>
        </w:rPr>
        <w:t xml:space="preserve"> скар</w:t>
      </w:r>
      <w:r w:rsidR="00FD567C" w:rsidRPr="00CB63B4">
        <w:rPr>
          <w:sz w:val="28"/>
          <w:szCs w:val="28"/>
          <w:shd w:val="clear" w:color="auto" w:fill="FFFFFF"/>
          <w:lang w:val="uk-UA"/>
        </w:rPr>
        <w:t>га має містити</w:t>
      </w:r>
      <w:r w:rsidR="00E47334" w:rsidRPr="00CB63B4">
        <w:rPr>
          <w:sz w:val="28"/>
          <w:szCs w:val="28"/>
          <w:shd w:val="clear" w:color="auto" w:fill="FFFFFF"/>
          <w:lang w:val="uk-UA"/>
        </w:rPr>
        <w:t xml:space="preserve">: </w:t>
      </w:r>
      <w:r w:rsidR="00E47334" w:rsidRPr="00CB63B4">
        <w:rPr>
          <w:sz w:val="28"/>
          <w:szCs w:val="28"/>
          <w:lang w:val="uk-UA"/>
        </w:rPr>
        <w:t xml:space="preserve">конкретні </w:t>
      </w:r>
      <w:r w:rsidR="0095120B" w:rsidRPr="00CB63B4">
        <w:rPr>
          <w:sz w:val="28"/>
          <w:szCs w:val="28"/>
          <w:lang w:val="uk-UA"/>
        </w:rPr>
        <w:t>приписи</w:t>
      </w:r>
      <w:r w:rsidR="00E47334" w:rsidRPr="00CB63B4">
        <w:rPr>
          <w:sz w:val="28"/>
          <w:szCs w:val="28"/>
          <w:lang w:val="uk-UA"/>
        </w:rPr>
        <w:t xml:space="preserve"> закону України, які належить перевірити на відповідність</w:t>
      </w:r>
      <w:r w:rsidR="00CB63B4">
        <w:rPr>
          <w:sz w:val="28"/>
          <w:szCs w:val="28"/>
          <w:lang w:val="uk-UA"/>
        </w:rPr>
        <w:t xml:space="preserve"> </w:t>
      </w:r>
      <w:hyperlink r:id="rId6" w:tgtFrame="_blank" w:history="1">
        <w:r w:rsidR="00E47334" w:rsidRPr="00CB63B4">
          <w:rPr>
            <w:rStyle w:val="a6"/>
            <w:color w:val="auto"/>
            <w:sz w:val="28"/>
            <w:szCs w:val="28"/>
            <w:u w:val="none"/>
            <w:lang w:val="uk-UA"/>
          </w:rPr>
          <w:t>Конституції України</w:t>
        </w:r>
      </w:hyperlink>
      <w:r w:rsidR="00E47334" w:rsidRPr="00CB63B4">
        <w:rPr>
          <w:sz w:val="28"/>
          <w:szCs w:val="28"/>
          <w:lang w:val="uk-UA"/>
        </w:rPr>
        <w:t xml:space="preserve">, та конкретні </w:t>
      </w:r>
      <w:r w:rsidR="0095120B" w:rsidRPr="00CB63B4">
        <w:rPr>
          <w:sz w:val="28"/>
          <w:szCs w:val="28"/>
          <w:lang w:val="uk-UA"/>
        </w:rPr>
        <w:t>приписи</w:t>
      </w:r>
      <w:r w:rsidR="00E47334" w:rsidRPr="00CB63B4">
        <w:rPr>
          <w:sz w:val="28"/>
          <w:szCs w:val="28"/>
          <w:lang w:val="uk-UA"/>
        </w:rPr>
        <w:t xml:space="preserve"> Конституції України, на відповідність яким належить перевірити закон України; обґрунтування тверджень щодо неконституційності закону України (його окремих приписів) із </w:t>
      </w:r>
      <w:r w:rsidR="00FD567C" w:rsidRPr="00CB63B4">
        <w:rPr>
          <w:sz w:val="28"/>
          <w:szCs w:val="28"/>
          <w:lang w:val="uk-UA"/>
        </w:rPr>
        <w:t xml:space="preserve">зазначенням того, </w:t>
      </w:r>
      <w:r w:rsidR="00E47334" w:rsidRPr="00CB63B4">
        <w:rPr>
          <w:sz w:val="28"/>
          <w:szCs w:val="28"/>
          <w:lang w:val="uk-UA"/>
        </w:rPr>
        <w:t>яке з гарантованих Конституцією України прав людини,  на думку суб’єкта права на конституційну скаргу, зазнало порушення внаслідок застосування закону.</w:t>
      </w:r>
    </w:p>
    <w:p w:rsidR="00E47334" w:rsidRPr="00CB63B4" w:rsidRDefault="0095120B" w:rsidP="00CB63B4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CB63B4">
        <w:rPr>
          <w:sz w:val="28"/>
          <w:szCs w:val="28"/>
        </w:rPr>
        <w:t xml:space="preserve">На виконання пункту 5 частини другої статті 55 Закону України „Про Конституційний Суд України“ Пашковський Л.І. у конституційній скарзі </w:t>
      </w:r>
      <w:r w:rsidR="00740B20" w:rsidRPr="00CB63B4">
        <w:rPr>
          <w:sz w:val="28"/>
          <w:szCs w:val="28"/>
        </w:rPr>
        <w:t>навів</w:t>
      </w:r>
      <w:r w:rsidR="00E47334" w:rsidRPr="00CB63B4">
        <w:rPr>
          <w:sz w:val="28"/>
          <w:szCs w:val="28"/>
        </w:rPr>
        <w:t xml:space="preserve"> конкретн</w:t>
      </w:r>
      <w:r w:rsidRPr="00CB63B4">
        <w:rPr>
          <w:sz w:val="28"/>
          <w:szCs w:val="28"/>
        </w:rPr>
        <w:t>ий</w:t>
      </w:r>
      <w:r w:rsidR="00E47334" w:rsidRPr="00CB63B4">
        <w:rPr>
          <w:sz w:val="28"/>
          <w:szCs w:val="28"/>
        </w:rPr>
        <w:t xml:space="preserve"> </w:t>
      </w:r>
      <w:r w:rsidRPr="00CB63B4">
        <w:rPr>
          <w:sz w:val="28"/>
          <w:szCs w:val="28"/>
        </w:rPr>
        <w:t>припис</w:t>
      </w:r>
      <w:r w:rsidR="00E47334" w:rsidRPr="00CB63B4">
        <w:rPr>
          <w:sz w:val="28"/>
          <w:szCs w:val="28"/>
        </w:rPr>
        <w:t xml:space="preserve"> закону України, як</w:t>
      </w:r>
      <w:r w:rsidRPr="00CB63B4">
        <w:rPr>
          <w:sz w:val="28"/>
          <w:szCs w:val="28"/>
        </w:rPr>
        <w:t>ий</w:t>
      </w:r>
      <w:r w:rsidR="00E47334" w:rsidRPr="00CB63B4">
        <w:rPr>
          <w:sz w:val="28"/>
          <w:szCs w:val="28"/>
        </w:rPr>
        <w:t xml:space="preserve"> належить перевірити на відповідність</w:t>
      </w:r>
      <w:r w:rsidR="00CB63B4">
        <w:rPr>
          <w:sz w:val="28"/>
          <w:szCs w:val="28"/>
        </w:rPr>
        <w:t xml:space="preserve"> </w:t>
      </w:r>
      <w:hyperlink r:id="rId7" w:tgtFrame="_blank" w:history="1">
        <w:r w:rsidR="00E47334" w:rsidRPr="00CB63B4">
          <w:rPr>
            <w:rStyle w:val="a6"/>
            <w:color w:val="auto"/>
            <w:sz w:val="28"/>
            <w:szCs w:val="28"/>
            <w:u w:val="none"/>
          </w:rPr>
          <w:t>Конституції України</w:t>
        </w:r>
      </w:hyperlink>
      <w:r w:rsidR="000926F9" w:rsidRPr="00CB63B4">
        <w:rPr>
          <w:rStyle w:val="a6"/>
          <w:color w:val="auto"/>
          <w:sz w:val="28"/>
          <w:szCs w:val="28"/>
          <w:u w:val="none"/>
        </w:rPr>
        <w:t>,</w:t>
      </w:r>
      <w:r w:rsidR="00E47334" w:rsidRPr="00CB63B4">
        <w:rPr>
          <w:sz w:val="28"/>
          <w:szCs w:val="28"/>
        </w:rPr>
        <w:t xml:space="preserve"> – пункт 3 частини </w:t>
      </w:r>
      <w:r w:rsidR="000926F9" w:rsidRPr="00CB63B4">
        <w:rPr>
          <w:sz w:val="28"/>
          <w:szCs w:val="28"/>
        </w:rPr>
        <w:t>другої</w:t>
      </w:r>
      <w:r w:rsidR="00740B20" w:rsidRPr="00CB63B4">
        <w:rPr>
          <w:sz w:val="28"/>
          <w:szCs w:val="28"/>
        </w:rPr>
        <w:t xml:space="preserve"> статті 40 Кодексу, а також</w:t>
      </w:r>
      <w:r w:rsidR="00E47334" w:rsidRPr="00CB63B4">
        <w:rPr>
          <w:sz w:val="28"/>
          <w:szCs w:val="28"/>
        </w:rPr>
        <w:t xml:space="preserve"> конкретні </w:t>
      </w:r>
      <w:r w:rsidRPr="00CB63B4">
        <w:rPr>
          <w:sz w:val="28"/>
          <w:szCs w:val="28"/>
        </w:rPr>
        <w:t>приписи</w:t>
      </w:r>
      <w:r w:rsidR="00E47334" w:rsidRPr="00CB63B4">
        <w:rPr>
          <w:sz w:val="28"/>
          <w:szCs w:val="28"/>
        </w:rPr>
        <w:t xml:space="preserve"> Конституції України, на відповідність яким належить перевірити закон</w:t>
      </w:r>
      <w:r w:rsidR="00D74569" w:rsidRPr="00CB63B4">
        <w:rPr>
          <w:sz w:val="28"/>
          <w:szCs w:val="28"/>
        </w:rPr>
        <w:t xml:space="preserve"> України, –</w:t>
      </w:r>
      <w:r w:rsidR="00847CBE" w:rsidRPr="00CB63B4">
        <w:rPr>
          <w:sz w:val="28"/>
          <w:szCs w:val="28"/>
        </w:rPr>
        <w:t xml:space="preserve"> статті 3, 8, 21, 24,</w:t>
      </w:r>
      <w:r w:rsidR="00E47334" w:rsidRPr="00CB63B4">
        <w:rPr>
          <w:sz w:val="28"/>
          <w:szCs w:val="28"/>
        </w:rPr>
        <w:t xml:space="preserve"> 47.</w:t>
      </w:r>
    </w:p>
    <w:p w:rsidR="00D96545" w:rsidRPr="00CB63B4" w:rsidRDefault="00740B20" w:rsidP="00CB63B4">
      <w:pPr>
        <w:spacing w:line="372" w:lineRule="auto"/>
        <w:ind w:firstLine="567"/>
        <w:jc w:val="both"/>
        <w:rPr>
          <w:sz w:val="28"/>
          <w:szCs w:val="28"/>
        </w:rPr>
      </w:pPr>
      <w:r w:rsidRPr="00CB63B4">
        <w:rPr>
          <w:sz w:val="28"/>
          <w:szCs w:val="28"/>
          <w:lang w:val="uk-UA"/>
        </w:rPr>
        <w:lastRenderedPageBreak/>
        <w:t xml:space="preserve">Намагаючись виконати вимоги </w:t>
      </w:r>
      <w:r w:rsidR="003D4477" w:rsidRPr="00CB63B4">
        <w:rPr>
          <w:sz w:val="28"/>
          <w:szCs w:val="28"/>
          <w:lang w:val="uk-UA"/>
        </w:rPr>
        <w:t>пункту 6 частини другої статті 55</w:t>
      </w:r>
      <w:r w:rsidR="00E47334" w:rsidRPr="00CB63B4">
        <w:rPr>
          <w:sz w:val="28"/>
          <w:szCs w:val="28"/>
          <w:lang w:val="uk-UA"/>
        </w:rPr>
        <w:t xml:space="preserve"> </w:t>
      </w:r>
      <w:r w:rsidR="003D4477" w:rsidRPr="00CB63B4">
        <w:rPr>
          <w:sz w:val="28"/>
          <w:szCs w:val="28"/>
          <w:lang w:val="uk-UA"/>
        </w:rPr>
        <w:t>Закону</w:t>
      </w:r>
      <w:r w:rsidR="0095120B" w:rsidRPr="00CB63B4">
        <w:rPr>
          <w:sz w:val="28"/>
          <w:szCs w:val="28"/>
          <w:lang w:val="uk-UA"/>
        </w:rPr>
        <w:t xml:space="preserve"> України „Про Конституційний Суд України“</w:t>
      </w:r>
      <w:r w:rsidRPr="00CB63B4">
        <w:rPr>
          <w:sz w:val="28"/>
          <w:szCs w:val="28"/>
          <w:lang w:val="uk-UA"/>
        </w:rPr>
        <w:t>,</w:t>
      </w:r>
      <w:r w:rsidR="0095120B" w:rsidRPr="00CB63B4">
        <w:rPr>
          <w:sz w:val="28"/>
          <w:szCs w:val="28"/>
          <w:lang w:val="uk-UA"/>
        </w:rPr>
        <w:t xml:space="preserve"> Пашковський Л.</w:t>
      </w:r>
      <w:r w:rsidR="00E47334" w:rsidRPr="00CB63B4">
        <w:rPr>
          <w:sz w:val="28"/>
          <w:szCs w:val="28"/>
          <w:lang w:val="uk-UA"/>
        </w:rPr>
        <w:t xml:space="preserve">І. </w:t>
      </w:r>
      <w:r w:rsidRPr="00CB63B4">
        <w:rPr>
          <w:sz w:val="28"/>
          <w:szCs w:val="28"/>
          <w:lang w:val="uk-UA"/>
        </w:rPr>
        <w:t>виклав</w:t>
      </w:r>
      <w:r w:rsidR="00E47334" w:rsidRPr="00CB63B4">
        <w:rPr>
          <w:sz w:val="28"/>
          <w:szCs w:val="28"/>
          <w:lang w:val="uk-UA"/>
        </w:rPr>
        <w:t xml:space="preserve"> власні аргументи </w:t>
      </w:r>
      <w:r w:rsidR="00501508" w:rsidRPr="00CB63B4">
        <w:rPr>
          <w:sz w:val="28"/>
          <w:szCs w:val="28"/>
          <w:lang w:val="uk-UA"/>
        </w:rPr>
        <w:t>для</w:t>
      </w:r>
      <w:r w:rsidR="00E47334" w:rsidRPr="00CB63B4">
        <w:rPr>
          <w:sz w:val="28"/>
          <w:szCs w:val="28"/>
          <w:lang w:val="uk-UA"/>
        </w:rPr>
        <w:t xml:space="preserve"> обґрунтування тверджень </w:t>
      </w:r>
      <w:r w:rsidR="002A22D9" w:rsidRPr="00CB63B4">
        <w:rPr>
          <w:sz w:val="28"/>
          <w:szCs w:val="28"/>
          <w:lang w:val="uk-UA"/>
        </w:rPr>
        <w:t>щодо</w:t>
      </w:r>
      <w:r w:rsidR="00E47334" w:rsidRPr="00CB63B4">
        <w:rPr>
          <w:sz w:val="28"/>
          <w:szCs w:val="28"/>
          <w:lang w:val="uk-UA"/>
        </w:rPr>
        <w:t xml:space="preserve"> </w:t>
      </w:r>
      <w:r w:rsidR="00FE1CD8" w:rsidRPr="00CB63B4">
        <w:rPr>
          <w:sz w:val="28"/>
          <w:szCs w:val="28"/>
          <w:lang w:val="uk-UA"/>
        </w:rPr>
        <w:t>невідповідн</w:t>
      </w:r>
      <w:r w:rsidR="002A22D9" w:rsidRPr="00CB63B4">
        <w:rPr>
          <w:sz w:val="28"/>
          <w:szCs w:val="28"/>
          <w:lang w:val="uk-UA"/>
        </w:rPr>
        <w:t>ості</w:t>
      </w:r>
      <w:r w:rsidR="00E47334" w:rsidRPr="00CB63B4">
        <w:rPr>
          <w:sz w:val="28"/>
          <w:szCs w:val="28"/>
          <w:lang w:val="uk-UA"/>
        </w:rPr>
        <w:t xml:space="preserve"> </w:t>
      </w:r>
      <w:r w:rsidR="00E80CE9" w:rsidRPr="00CB63B4">
        <w:rPr>
          <w:sz w:val="28"/>
          <w:szCs w:val="28"/>
          <w:lang w:val="uk-UA"/>
        </w:rPr>
        <w:t xml:space="preserve">Конституції України </w:t>
      </w:r>
      <w:r w:rsidR="00E47334" w:rsidRPr="00CB63B4">
        <w:rPr>
          <w:sz w:val="28"/>
          <w:szCs w:val="28"/>
          <w:lang w:val="uk-UA"/>
        </w:rPr>
        <w:t xml:space="preserve">пункту 3 частини </w:t>
      </w:r>
      <w:r w:rsidR="00501508" w:rsidRPr="00CB63B4">
        <w:rPr>
          <w:sz w:val="28"/>
          <w:szCs w:val="28"/>
          <w:lang w:val="uk-UA"/>
        </w:rPr>
        <w:t>другої</w:t>
      </w:r>
      <w:r w:rsidR="00E80CE9" w:rsidRPr="00CB63B4">
        <w:rPr>
          <w:sz w:val="28"/>
          <w:szCs w:val="28"/>
          <w:lang w:val="uk-UA"/>
        </w:rPr>
        <w:t xml:space="preserve"> </w:t>
      </w:r>
      <w:r w:rsidR="00E47334" w:rsidRPr="00CB63B4">
        <w:rPr>
          <w:sz w:val="28"/>
          <w:szCs w:val="28"/>
          <w:lang w:val="uk-UA"/>
        </w:rPr>
        <w:t xml:space="preserve">статті 40 Кодексу, </w:t>
      </w:r>
      <w:r w:rsidR="009C38BD" w:rsidRPr="00CB63B4">
        <w:rPr>
          <w:sz w:val="28"/>
          <w:szCs w:val="28"/>
          <w:lang w:val="uk-UA"/>
        </w:rPr>
        <w:t xml:space="preserve">формально </w:t>
      </w:r>
      <w:r w:rsidR="00E47334" w:rsidRPr="00CB63B4">
        <w:rPr>
          <w:sz w:val="28"/>
          <w:szCs w:val="28"/>
          <w:lang w:val="uk-UA"/>
        </w:rPr>
        <w:t xml:space="preserve">зазначивши, яке саме з </w:t>
      </w:r>
      <w:r w:rsidR="00E80CE9" w:rsidRPr="00CB63B4">
        <w:rPr>
          <w:sz w:val="28"/>
          <w:szCs w:val="28"/>
          <w:lang w:val="uk-UA"/>
        </w:rPr>
        <w:t xml:space="preserve">гарантованих </w:t>
      </w:r>
      <w:hyperlink r:id="rId8" w:tgtFrame="_blank" w:history="1">
        <w:r w:rsidR="00E47334" w:rsidRPr="00CB63B4">
          <w:rPr>
            <w:rStyle w:val="a6"/>
            <w:color w:val="auto"/>
            <w:sz w:val="28"/>
            <w:szCs w:val="28"/>
            <w:u w:val="none"/>
            <w:lang w:val="uk-UA"/>
          </w:rPr>
          <w:t>Конституцією України</w:t>
        </w:r>
      </w:hyperlink>
      <w:r w:rsidR="00E80CE9" w:rsidRPr="00CB63B4">
        <w:rPr>
          <w:sz w:val="28"/>
          <w:szCs w:val="28"/>
          <w:lang w:val="uk-UA"/>
        </w:rPr>
        <w:t xml:space="preserve"> </w:t>
      </w:r>
      <w:r w:rsidR="00E47334" w:rsidRPr="00CB63B4">
        <w:rPr>
          <w:sz w:val="28"/>
          <w:szCs w:val="28"/>
          <w:lang w:val="uk-UA"/>
        </w:rPr>
        <w:t>прав людини, на його думку, зазнало порушення внаслідок застосування закону (ко</w:t>
      </w:r>
      <w:r w:rsidR="0095120B" w:rsidRPr="00CB63B4">
        <w:rPr>
          <w:sz w:val="28"/>
          <w:szCs w:val="28"/>
          <w:lang w:val="uk-UA"/>
        </w:rPr>
        <w:t>нституційне право на житло – стаття</w:t>
      </w:r>
      <w:r w:rsidR="00E47334" w:rsidRPr="00CB63B4">
        <w:rPr>
          <w:sz w:val="28"/>
          <w:szCs w:val="28"/>
          <w:lang w:val="uk-UA"/>
        </w:rPr>
        <w:t xml:space="preserve"> 47 Конституції України).</w:t>
      </w:r>
      <w:r w:rsidR="00E47334" w:rsidRPr="00CB63B4">
        <w:rPr>
          <w:sz w:val="28"/>
          <w:szCs w:val="28"/>
        </w:rPr>
        <w:t xml:space="preserve"> </w:t>
      </w:r>
    </w:p>
    <w:p w:rsidR="00740B20" w:rsidRPr="00CB63B4" w:rsidRDefault="00740B20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</w:p>
    <w:p w:rsidR="009C38BD" w:rsidRPr="00CB63B4" w:rsidRDefault="000C12A0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4.2.</w:t>
      </w:r>
      <w:r w:rsidR="009C38BD" w:rsidRPr="00CB63B4">
        <w:rPr>
          <w:sz w:val="28"/>
          <w:szCs w:val="28"/>
          <w:lang w:val="uk-UA"/>
        </w:rPr>
        <w:t xml:space="preserve"> 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(окремі його приписи), який був застосований в остаточному судовому рішенні в її справі, порушує її гарантов</w:t>
      </w:r>
      <w:r w:rsidR="00444FFC" w:rsidRPr="00CB63B4">
        <w:rPr>
          <w:sz w:val="28"/>
          <w:szCs w:val="28"/>
          <w:lang w:val="uk-UA"/>
        </w:rPr>
        <w:t xml:space="preserve">ане Конституцією України право </w:t>
      </w:r>
      <w:r w:rsidR="00444FFC" w:rsidRPr="00CB63B4">
        <w:rPr>
          <w:sz w:val="28"/>
          <w:szCs w:val="28"/>
        </w:rPr>
        <w:t>[</w:t>
      </w:r>
      <w:r w:rsidR="009C38BD" w:rsidRPr="00CB63B4">
        <w:rPr>
          <w:sz w:val="28"/>
          <w:szCs w:val="28"/>
          <w:lang w:val="uk-UA"/>
        </w:rPr>
        <w:t>ухвали Першого сенату Конституційного Суду України від 13 червня 2018 року № 20-у(І)/2018, Другого сенату Конституційного Суду України від 3 че</w:t>
      </w:r>
      <w:r w:rsidR="00444FFC" w:rsidRPr="00CB63B4">
        <w:rPr>
          <w:sz w:val="28"/>
          <w:szCs w:val="28"/>
          <w:lang w:val="uk-UA"/>
        </w:rPr>
        <w:t>рвня 2020 року № 10-уп(ІІ)/2020]</w:t>
      </w:r>
      <w:r w:rsidR="009C38BD" w:rsidRPr="00CB63B4">
        <w:rPr>
          <w:sz w:val="28"/>
          <w:szCs w:val="28"/>
          <w:lang w:val="uk-UA"/>
        </w:rPr>
        <w:t>.</w:t>
      </w:r>
    </w:p>
    <w:p w:rsidR="009C38BD" w:rsidRPr="00CB63B4" w:rsidRDefault="00444FFC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В Ухвалі </w:t>
      </w:r>
      <w:r w:rsidR="009C38BD" w:rsidRPr="00CB63B4">
        <w:rPr>
          <w:sz w:val="28"/>
          <w:szCs w:val="28"/>
          <w:lang w:val="uk-UA"/>
        </w:rPr>
        <w:t>Друг</w:t>
      </w:r>
      <w:r w:rsidRPr="00CB63B4">
        <w:rPr>
          <w:sz w:val="28"/>
          <w:szCs w:val="28"/>
          <w:lang w:val="uk-UA"/>
        </w:rPr>
        <w:t>ої колегії</w:t>
      </w:r>
      <w:r w:rsidR="009C38BD" w:rsidRPr="00CB63B4">
        <w:rPr>
          <w:sz w:val="28"/>
          <w:szCs w:val="28"/>
          <w:lang w:val="uk-UA"/>
        </w:rPr>
        <w:t xml:space="preserve"> суддів Другого сенату Конституційного Суду України від 30 січня 2024 року № 14-2(ІІ)/2024 </w:t>
      </w:r>
      <w:r w:rsidRPr="00CB63B4">
        <w:rPr>
          <w:sz w:val="28"/>
          <w:szCs w:val="28"/>
          <w:lang w:val="uk-UA"/>
        </w:rPr>
        <w:t xml:space="preserve">наголошено на тому, що </w:t>
      </w:r>
      <w:r w:rsidR="00276A0C" w:rsidRPr="00CB63B4">
        <w:rPr>
          <w:sz w:val="28"/>
          <w:szCs w:val="28"/>
          <w:lang w:val="uk-UA"/>
        </w:rPr>
        <w:t>«</w:t>
      </w:r>
      <w:r w:rsidR="00F24B26" w:rsidRPr="00CB63B4">
        <w:rPr>
          <w:sz w:val="28"/>
          <w:szCs w:val="28"/>
          <w:lang w:val="uk-UA"/>
        </w:rPr>
        <w:t>з</w:t>
      </w:r>
      <w:r w:rsidR="009C38BD" w:rsidRPr="00CB63B4">
        <w:rPr>
          <w:sz w:val="28"/>
          <w:szCs w:val="28"/>
          <w:lang w:val="uk-UA"/>
        </w:rPr>
        <w:t>а змістом частини першої, пункту 6 частини другої статті 55 Закону України „Про Конституційний Суд України</w:t>
      </w:r>
      <w:r w:rsidR="00276A0C" w:rsidRPr="00CB63B4">
        <w:rPr>
          <w:sz w:val="28"/>
          <w:szCs w:val="28"/>
          <w:lang w:val="uk-UA"/>
        </w:rPr>
        <w:t xml:space="preserve">“ ймовірне порушення гарантованого Конституцією України права людини є наслідком застосування саме оспорюваного суб’єктом права на конституційну скаргу закону (його окремих приписів) в остаточному судовому рішенні в його справі </w:t>
      </w:r>
      <w:r w:rsidR="00276A0C" w:rsidRPr="00CB63B4">
        <w:rPr>
          <w:sz w:val="28"/>
          <w:szCs w:val="28"/>
        </w:rPr>
        <w:t>&lt;</w:t>
      </w:r>
      <w:r w:rsidR="00276A0C" w:rsidRPr="00CB63B4">
        <w:rPr>
          <w:sz w:val="28"/>
          <w:szCs w:val="28"/>
          <w:lang w:val="uk-UA"/>
        </w:rPr>
        <w:t>…</w:t>
      </w:r>
      <w:r w:rsidR="00276A0C" w:rsidRPr="00CB63B4">
        <w:rPr>
          <w:sz w:val="28"/>
          <w:szCs w:val="28"/>
        </w:rPr>
        <w:t>&gt;</w:t>
      </w:r>
      <w:r w:rsidR="00276A0C" w:rsidRPr="00CB63B4">
        <w:rPr>
          <w:sz w:val="28"/>
          <w:szCs w:val="28"/>
          <w:lang w:val="uk-UA"/>
        </w:rPr>
        <w:t xml:space="preserve">. Себто </w:t>
      </w:r>
      <w:r w:rsidR="009C38BD" w:rsidRPr="00CB63B4">
        <w:rPr>
          <w:sz w:val="28"/>
          <w:szCs w:val="28"/>
          <w:lang w:val="uk-UA"/>
        </w:rPr>
        <w:t xml:space="preserve">застосування судом оспорюваного закону (його окремих приписів) в остаточному судовому рішенні суб’єкта права на конституційну скаргу та порушення його гарантованого Конституцією України права людини мають перебувати в прямому </w:t>
      </w:r>
      <w:proofErr w:type="spellStart"/>
      <w:r w:rsidR="009C38BD" w:rsidRPr="00CB63B4">
        <w:rPr>
          <w:sz w:val="28"/>
          <w:szCs w:val="28"/>
          <w:lang w:val="uk-UA"/>
        </w:rPr>
        <w:t>причиново</w:t>
      </w:r>
      <w:proofErr w:type="spellEnd"/>
      <w:r w:rsidR="009C38BD" w:rsidRPr="00CB63B4">
        <w:rPr>
          <w:sz w:val="28"/>
          <w:szCs w:val="28"/>
          <w:lang w:val="uk-UA"/>
        </w:rPr>
        <w:t>-наслідковому зв’язку</w:t>
      </w:r>
      <w:r w:rsidRPr="00CB63B4">
        <w:rPr>
          <w:sz w:val="28"/>
          <w:szCs w:val="28"/>
          <w:lang w:val="uk-UA"/>
        </w:rPr>
        <w:t>“</w:t>
      </w:r>
      <w:r w:rsidR="000C12A0" w:rsidRPr="00CB63B4">
        <w:rPr>
          <w:sz w:val="28"/>
          <w:szCs w:val="28"/>
          <w:lang w:val="uk-UA"/>
        </w:rPr>
        <w:t xml:space="preserve"> (абзац перш</w:t>
      </w:r>
      <w:r w:rsidR="00276A0C" w:rsidRPr="00CB63B4">
        <w:rPr>
          <w:sz w:val="28"/>
          <w:szCs w:val="28"/>
          <w:lang w:val="uk-UA"/>
        </w:rPr>
        <w:t>ий</w:t>
      </w:r>
      <w:r w:rsidR="000C12A0" w:rsidRPr="00CB63B4">
        <w:rPr>
          <w:sz w:val="28"/>
          <w:szCs w:val="28"/>
          <w:lang w:val="uk-UA"/>
        </w:rPr>
        <w:t xml:space="preserve"> підпункту 3.2 пункту 3 мотивувальної частини)</w:t>
      </w:r>
      <w:r w:rsidR="009C38BD" w:rsidRPr="00CB63B4">
        <w:rPr>
          <w:sz w:val="28"/>
          <w:szCs w:val="28"/>
          <w:lang w:val="uk-UA"/>
        </w:rPr>
        <w:t>.</w:t>
      </w:r>
    </w:p>
    <w:p w:rsidR="00075709" w:rsidRPr="00CB63B4" w:rsidRDefault="001226D0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lastRenderedPageBreak/>
        <w:t>Н</w:t>
      </w:r>
      <w:r w:rsidR="00F24B26" w:rsidRPr="00CB63B4">
        <w:rPr>
          <w:sz w:val="28"/>
          <w:szCs w:val="28"/>
          <w:lang w:val="uk-UA"/>
        </w:rPr>
        <w:t>едотримання вимог пункту 6</w:t>
      </w:r>
      <w:r w:rsidR="002D7EC7" w:rsidRPr="00CB63B4">
        <w:rPr>
          <w:sz w:val="28"/>
          <w:szCs w:val="28"/>
          <w:lang w:val="uk-UA"/>
        </w:rPr>
        <w:t xml:space="preserve"> </w:t>
      </w:r>
      <w:r w:rsidR="00F24B26" w:rsidRPr="00CB63B4">
        <w:rPr>
          <w:sz w:val="28"/>
          <w:szCs w:val="28"/>
          <w:lang w:val="uk-UA"/>
        </w:rPr>
        <w:t>частини другої</w:t>
      </w:r>
      <w:r w:rsidR="004D648C" w:rsidRPr="00CB63B4">
        <w:rPr>
          <w:sz w:val="28"/>
          <w:szCs w:val="28"/>
          <w:lang w:val="uk-UA"/>
        </w:rPr>
        <w:t xml:space="preserve"> </w:t>
      </w:r>
      <w:r w:rsidR="00F24B26" w:rsidRPr="00CB63B4">
        <w:rPr>
          <w:sz w:val="28"/>
          <w:szCs w:val="28"/>
          <w:lang w:val="uk-UA"/>
        </w:rPr>
        <w:t>статті 55 Закону України „Про Конституційний Суд України“</w:t>
      </w:r>
      <w:r w:rsidR="002D7EC7" w:rsidRPr="00CB63B4">
        <w:rPr>
          <w:sz w:val="28"/>
          <w:szCs w:val="28"/>
          <w:lang w:val="uk-UA"/>
        </w:rPr>
        <w:t xml:space="preserve"> має місце в</w:t>
      </w:r>
      <w:r w:rsidR="00075709" w:rsidRPr="00CB63B4">
        <w:rPr>
          <w:sz w:val="28"/>
          <w:szCs w:val="28"/>
          <w:lang w:val="uk-UA"/>
        </w:rPr>
        <w:t xml:space="preserve"> разі, коли</w:t>
      </w:r>
      <w:r w:rsidR="00444FFC" w:rsidRPr="00CB63B4">
        <w:rPr>
          <w:sz w:val="28"/>
          <w:szCs w:val="28"/>
          <w:lang w:val="uk-UA"/>
        </w:rPr>
        <w:t xml:space="preserve"> суб’єкт права на конституційну скаргу</w:t>
      </w:r>
      <w:r w:rsidR="00075709" w:rsidRPr="00CB63B4">
        <w:rPr>
          <w:sz w:val="28"/>
          <w:szCs w:val="28"/>
          <w:lang w:val="uk-UA"/>
        </w:rPr>
        <w:t>:</w:t>
      </w:r>
    </w:p>
    <w:p w:rsidR="00F24B26" w:rsidRPr="00CB63B4" w:rsidRDefault="00075709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–</w:t>
      </w:r>
      <w:r w:rsidR="00444FFC" w:rsidRPr="00CB63B4">
        <w:rPr>
          <w:sz w:val="28"/>
          <w:szCs w:val="28"/>
          <w:lang w:val="uk-UA"/>
        </w:rPr>
        <w:t xml:space="preserve"> </w:t>
      </w:r>
      <w:r w:rsidRPr="00CB63B4">
        <w:rPr>
          <w:sz w:val="28"/>
          <w:szCs w:val="28"/>
          <w:lang w:val="uk-UA"/>
        </w:rPr>
        <w:t xml:space="preserve">не вказав </w:t>
      </w:r>
      <w:proofErr w:type="spellStart"/>
      <w:r w:rsidRPr="00CB63B4">
        <w:rPr>
          <w:sz w:val="28"/>
          <w:szCs w:val="28"/>
          <w:lang w:val="uk-UA"/>
        </w:rPr>
        <w:t>причиново</w:t>
      </w:r>
      <w:proofErr w:type="spellEnd"/>
      <w:r w:rsidRPr="00CB63B4">
        <w:rPr>
          <w:sz w:val="28"/>
          <w:szCs w:val="28"/>
          <w:lang w:val="uk-UA"/>
        </w:rPr>
        <w:t xml:space="preserve">-наслідкового зв’язку між змістом </w:t>
      </w:r>
      <w:r w:rsidR="00444FFC" w:rsidRPr="00CB63B4">
        <w:rPr>
          <w:sz w:val="28"/>
          <w:szCs w:val="28"/>
          <w:lang w:val="uk-UA"/>
        </w:rPr>
        <w:t>оскаржуваних</w:t>
      </w:r>
      <w:r w:rsidRPr="00CB63B4">
        <w:rPr>
          <w:sz w:val="28"/>
          <w:szCs w:val="28"/>
          <w:lang w:val="uk-UA"/>
        </w:rPr>
        <w:t xml:space="preserve"> </w:t>
      </w:r>
      <w:r w:rsidR="00001FDB" w:rsidRPr="00CB63B4">
        <w:rPr>
          <w:sz w:val="28"/>
          <w:szCs w:val="28"/>
          <w:lang w:val="uk-UA"/>
        </w:rPr>
        <w:t xml:space="preserve">ним </w:t>
      </w:r>
      <w:r w:rsidRPr="00CB63B4">
        <w:rPr>
          <w:sz w:val="28"/>
          <w:szCs w:val="28"/>
          <w:lang w:val="uk-UA"/>
        </w:rPr>
        <w:t>приписів</w:t>
      </w:r>
      <w:r w:rsidR="00001FDB" w:rsidRPr="00CB63B4">
        <w:rPr>
          <w:sz w:val="28"/>
          <w:szCs w:val="28"/>
          <w:lang w:val="uk-UA"/>
        </w:rPr>
        <w:t xml:space="preserve"> закону</w:t>
      </w:r>
      <w:r w:rsidRPr="00CB63B4">
        <w:rPr>
          <w:sz w:val="28"/>
          <w:szCs w:val="28"/>
          <w:lang w:val="uk-UA"/>
        </w:rPr>
        <w:t xml:space="preserve"> та порушенням його конституційного права [абзаци третій</w:t>
      </w:r>
      <w:r w:rsidR="008828B8" w:rsidRPr="00CB63B4">
        <w:rPr>
          <w:sz w:val="28"/>
          <w:szCs w:val="28"/>
          <w:lang w:val="uk-UA"/>
        </w:rPr>
        <w:t xml:space="preserve">, четвертий, </w:t>
      </w:r>
      <w:r w:rsidRPr="00CB63B4">
        <w:rPr>
          <w:sz w:val="28"/>
          <w:szCs w:val="28"/>
          <w:lang w:val="uk-UA"/>
        </w:rPr>
        <w:t>п’ятий пункту 2 мотивувальної частини Ухвали Другого сенату Конституційного Суду України від 10 травня 2023 року № 36-у(ІІ)/2023];</w:t>
      </w:r>
    </w:p>
    <w:p w:rsidR="00075709" w:rsidRPr="00CB63B4" w:rsidRDefault="00075709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– не обґрунтува</w:t>
      </w:r>
      <w:r w:rsidR="001226D0" w:rsidRPr="00CB63B4">
        <w:rPr>
          <w:sz w:val="28"/>
          <w:szCs w:val="28"/>
          <w:lang w:val="uk-UA"/>
        </w:rPr>
        <w:t>в</w:t>
      </w:r>
      <w:r w:rsidRPr="00CB63B4">
        <w:rPr>
          <w:sz w:val="28"/>
          <w:szCs w:val="28"/>
          <w:lang w:val="uk-UA"/>
        </w:rPr>
        <w:t xml:space="preserve"> того, що саме зазначена </w:t>
      </w:r>
      <w:r w:rsidR="00001FDB" w:rsidRPr="00CB63B4">
        <w:rPr>
          <w:sz w:val="28"/>
          <w:szCs w:val="28"/>
          <w:lang w:val="uk-UA"/>
        </w:rPr>
        <w:t xml:space="preserve">ним </w:t>
      </w:r>
      <w:r w:rsidRPr="00CB63B4">
        <w:rPr>
          <w:sz w:val="28"/>
          <w:szCs w:val="28"/>
          <w:lang w:val="uk-UA"/>
        </w:rPr>
        <w:t xml:space="preserve">нормативна конструкція </w:t>
      </w:r>
      <w:r w:rsidR="00001FDB" w:rsidRPr="00CB63B4">
        <w:rPr>
          <w:sz w:val="28"/>
          <w:szCs w:val="28"/>
          <w:lang w:val="uk-UA"/>
        </w:rPr>
        <w:t>оскаржуваних</w:t>
      </w:r>
      <w:r w:rsidRPr="00CB63B4">
        <w:rPr>
          <w:sz w:val="28"/>
          <w:szCs w:val="28"/>
          <w:lang w:val="uk-UA"/>
        </w:rPr>
        <w:t xml:space="preserve"> </w:t>
      </w:r>
      <w:r w:rsidR="00444FFC" w:rsidRPr="00CB63B4">
        <w:rPr>
          <w:sz w:val="28"/>
          <w:szCs w:val="28"/>
          <w:lang w:val="uk-UA"/>
        </w:rPr>
        <w:t xml:space="preserve">приписів </w:t>
      </w:r>
      <w:r w:rsidR="00001FDB" w:rsidRPr="00CB63B4">
        <w:rPr>
          <w:sz w:val="28"/>
          <w:szCs w:val="28"/>
          <w:lang w:val="uk-UA"/>
        </w:rPr>
        <w:t>закону</w:t>
      </w:r>
      <w:r w:rsidRPr="00CB63B4">
        <w:rPr>
          <w:sz w:val="28"/>
          <w:szCs w:val="28"/>
          <w:lang w:val="uk-UA"/>
        </w:rPr>
        <w:t xml:space="preserve"> </w:t>
      </w:r>
      <w:proofErr w:type="spellStart"/>
      <w:r w:rsidRPr="00CB63B4">
        <w:rPr>
          <w:sz w:val="28"/>
          <w:szCs w:val="28"/>
          <w:lang w:val="uk-UA"/>
        </w:rPr>
        <w:t>причиново-наслідково</w:t>
      </w:r>
      <w:proofErr w:type="spellEnd"/>
      <w:r w:rsidRPr="00CB63B4">
        <w:rPr>
          <w:sz w:val="28"/>
          <w:szCs w:val="28"/>
          <w:lang w:val="uk-UA"/>
        </w:rPr>
        <w:t xml:space="preserve"> призводить до </w:t>
      </w:r>
      <w:r w:rsidR="00001FDB" w:rsidRPr="00CB63B4">
        <w:rPr>
          <w:sz w:val="28"/>
          <w:szCs w:val="28"/>
          <w:lang w:val="uk-UA"/>
        </w:rPr>
        <w:t>втручання в його</w:t>
      </w:r>
      <w:r w:rsidRPr="00CB63B4">
        <w:rPr>
          <w:sz w:val="28"/>
          <w:szCs w:val="28"/>
          <w:lang w:val="uk-UA"/>
        </w:rPr>
        <w:t xml:space="preserve"> конституційне право </w:t>
      </w:r>
      <w:r w:rsidR="00001FDB" w:rsidRPr="00CB63B4">
        <w:rPr>
          <w:sz w:val="28"/>
          <w:szCs w:val="28"/>
          <w:lang w:val="uk-UA"/>
        </w:rPr>
        <w:t>[абзаци другий, третій підпункту 2.2 пункту 2 мотивувальної частини Ухвали Другої колегії суддів Другого сенату Конституційного Суду України від 24 травня 2023 року № 84-2(ІІ)/2023].</w:t>
      </w:r>
    </w:p>
    <w:p w:rsidR="009C38BD" w:rsidRPr="00CB63B4" w:rsidRDefault="009C38BD" w:rsidP="00CB63B4">
      <w:pPr>
        <w:spacing w:line="372" w:lineRule="auto"/>
        <w:ind w:firstLine="567"/>
        <w:jc w:val="both"/>
        <w:rPr>
          <w:b/>
          <w:sz w:val="28"/>
          <w:szCs w:val="28"/>
          <w:lang w:val="uk-UA"/>
        </w:rPr>
      </w:pPr>
    </w:p>
    <w:p w:rsidR="002D7EC7" w:rsidRPr="00CB63B4" w:rsidRDefault="0020792A" w:rsidP="00CB63B4">
      <w:pPr>
        <w:spacing w:line="372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B63B4">
        <w:rPr>
          <w:sz w:val="28"/>
          <w:szCs w:val="28"/>
          <w:lang w:val="uk-UA"/>
        </w:rPr>
        <w:t>4</w:t>
      </w:r>
      <w:r w:rsidR="004D648C" w:rsidRPr="00CB63B4">
        <w:rPr>
          <w:sz w:val="28"/>
          <w:szCs w:val="28"/>
          <w:lang w:val="uk-UA"/>
        </w:rPr>
        <w:t>.3</w:t>
      </w:r>
      <w:r w:rsidRPr="00CB63B4">
        <w:rPr>
          <w:sz w:val="28"/>
          <w:szCs w:val="28"/>
          <w:lang w:val="uk-UA"/>
        </w:rPr>
        <w:t xml:space="preserve">. </w:t>
      </w:r>
      <w:r w:rsidR="002D7EC7" w:rsidRPr="00CB63B4">
        <w:rPr>
          <w:sz w:val="28"/>
          <w:szCs w:val="28"/>
          <w:lang w:val="uk-UA"/>
        </w:rPr>
        <w:t xml:space="preserve">Виходячи </w:t>
      </w:r>
      <w:r w:rsidR="001226D0" w:rsidRPr="00CB63B4">
        <w:rPr>
          <w:sz w:val="28"/>
          <w:szCs w:val="28"/>
          <w:lang w:val="uk-UA"/>
        </w:rPr>
        <w:t>і</w:t>
      </w:r>
      <w:r w:rsidR="002D7EC7" w:rsidRPr="00CB63B4">
        <w:rPr>
          <w:sz w:val="28"/>
          <w:szCs w:val="28"/>
          <w:lang w:val="uk-UA"/>
        </w:rPr>
        <w:t xml:space="preserve">з системного аналізу змісту статей 55, 77 Закону України „Про Конституційний Суд України“ Другий сенат Конституційного Суду України </w:t>
      </w:r>
      <w:r w:rsidR="00FF65A4" w:rsidRPr="00CB63B4">
        <w:rPr>
          <w:sz w:val="28"/>
          <w:szCs w:val="28"/>
          <w:lang w:val="uk-UA"/>
        </w:rPr>
        <w:t>зазначає</w:t>
      </w:r>
      <w:r w:rsidR="002D7EC7" w:rsidRPr="00CB63B4">
        <w:rPr>
          <w:sz w:val="28"/>
          <w:szCs w:val="28"/>
          <w:lang w:val="uk-UA"/>
        </w:rPr>
        <w:t>, що конституційну скаргу не можна вважати прийнятною</w:t>
      </w:r>
      <w:r w:rsidR="00FF65A4" w:rsidRPr="00CB63B4">
        <w:rPr>
          <w:sz w:val="28"/>
          <w:szCs w:val="28"/>
          <w:lang w:val="uk-UA"/>
        </w:rPr>
        <w:t>, якщо</w:t>
      </w:r>
      <w:r w:rsidR="002D7EC7" w:rsidRPr="00CB63B4">
        <w:rPr>
          <w:sz w:val="28"/>
          <w:szCs w:val="28"/>
          <w:lang w:val="uk-UA"/>
        </w:rPr>
        <w:t xml:space="preserve"> </w:t>
      </w:r>
      <w:r w:rsidR="00FF65A4" w:rsidRPr="00CB63B4">
        <w:rPr>
          <w:sz w:val="28"/>
          <w:szCs w:val="28"/>
          <w:lang w:val="uk-UA"/>
        </w:rPr>
        <w:t xml:space="preserve">вона не містить обґрунтування </w:t>
      </w:r>
      <w:proofErr w:type="spellStart"/>
      <w:r w:rsidR="00FF65A4" w:rsidRPr="00CB63B4">
        <w:rPr>
          <w:sz w:val="28"/>
          <w:szCs w:val="28"/>
          <w:lang w:val="uk-UA"/>
        </w:rPr>
        <w:t>причиново</w:t>
      </w:r>
      <w:proofErr w:type="spellEnd"/>
      <w:r w:rsidR="00FF65A4" w:rsidRPr="00CB63B4">
        <w:rPr>
          <w:sz w:val="28"/>
          <w:szCs w:val="28"/>
          <w:lang w:val="uk-UA"/>
        </w:rPr>
        <w:t>-наслідково</w:t>
      </w:r>
      <w:r w:rsidR="00903742" w:rsidRPr="00CB63B4">
        <w:rPr>
          <w:sz w:val="28"/>
          <w:szCs w:val="28"/>
          <w:lang w:val="uk-UA"/>
        </w:rPr>
        <w:t>го</w:t>
      </w:r>
      <w:r w:rsidR="00FF65A4" w:rsidRPr="00CB63B4">
        <w:rPr>
          <w:sz w:val="28"/>
          <w:szCs w:val="28"/>
          <w:lang w:val="uk-UA"/>
        </w:rPr>
        <w:t xml:space="preserve"> зв’язку між оскаржуваним припис</w:t>
      </w:r>
      <w:r w:rsidR="00FE2CAD" w:rsidRPr="00CB63B4">
        <w:rPr>
          <w:sz w:val="28"/>
          <w:szCs w:val="28"/>
          <w:lang w:val="uk-UA"/>
        </w:rPr>
        <w:t xml:space="preserve">ом </w:t>
      </w:r>
      <w:r w:rsidR="00FF65A4" w:rsidRPr="00CB63B4">
        <w:rPr>
          <w:sz w:val="28"/>
          <w:szCs w:val="28"/>
          <w:lang w:val="uk-UA"/>
        </w:rPr>
        <w:t>закону, застосованим в остаточному судовому рішенні у справі суб’єкта права</w:t>
      </w:r>
      <w:r w:rsidR="00FE2CAD" w:rsidRPr="00CB63B4">
        <w:rPr>
          <w:sz w:val="28"/>
          <w:szCs w:val="28"/>
          <w:lang w:val="uk-UA"/>
        </w:rPr>
        <w:t xml:space="preserve"> на конституційну скаргу</w:t>
      </w:r>
      <w:r w:rsidR="00FF65A4" w:rsidRPr="00CB63B4">
        <w:rPr>
          <w:sz w:val="28"/>
          <w:szCs w:val="28"/>
          <w:lang w:val="uk-UA"/>
        </w:rPr>
        <w:t>, та порушенням конституційного права</w:t>
      </w:r>
      <w:r w:rsidR="00F93187">
        <w:rPr>
          <w:sz w:val="28"/>
          <w:szCs w:val="28"/>
          <w:lang w:val="uk-UA"/>
        </w:rPr>
        <w:t xml:space="preserve"> людини</w:t>
      </w:r>
      <w:r w:rsidR="00FF65A4" w:rsidRPr="00CB63B4">
        <w:rPr>
          <w:sz w:val="28"/>
          <w:szCs w:val="28"/>
          <w:lang w:val="uk-UA"/>
        </w:rPr>
        <w:t xml:space="preserve">, а також </w:t>
      </w:r>
      <w:r w:rsidR="002D7EC7" w:rsidRPr="00CB63B4">
        <w:rPr>
          <w:sz w:val="28"/>
          <w:szCs w:val="28"/>
          <w:lang w:val="uk-UA"/>
        </w:rPr>
        <w:t xml:space="preserve">якщо встановлено, що застосування оскаржуваного </w:t>
      </w:r>
      <w:r w:rsidR="00BB355E" w:rsidRPr="00CB63B4">
        <w:rPr>
          <w:sz w:val="28"/>
          <w:szCs w:val="28"/>
          <w:lang w:val="uk-UA"/>
        </w:rPr>
        <w:t xml:space="preserve">припису </w:t>
      </w:r>
      <w:r w:rsidR="002D7EC7" w:rsidRPr="00CB63B4">
        <w:rPr>
          <w:sz w:val="28"/>
          <w:szCs w:val="28"/>
          <w:lang w:val="uk-UA"/>
        </w:rPr>
        <w:t>закону не призвело до порушення конституційного права людини.</w:t>
      </w:r>
      <w:r w:rsidR="002D7EC7" w:rsidRPr="00CB63B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20792A" w:rsidRPr="00CB63B4" w:rsidRDefault="00334167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П</w:t>
      </w:r>
      <w:r w:rsidR="00216B5F" w:rsidRPr="00CB63B4">
        <w:rPr>
          <w:sz w:val="28"/>
          <w:szCs w:val="28"/>
          <w:lang w:val="uk-UA"/>
        </w:rPr>
        <w:t xml:space="preserve">рипис </w:t>
      </w:r>
      <w:r w:rsidRPr="00CB63B4">
        <w:rPr>
          <w:sz w:val="28"/>
          <w:szCs w:val="28"/>
          <w:lang w:val="uk-UA"/>
        </w:rPr>
        <w:t xml:space="preserve">пункту 3 частини другої статті 40 </w:t>
      </w:r>
      <w:r w:rsidR="00216B5F" w:rsidRPr="00CB63B4">
        <w:rPr>
          <w:sz w:val="28"/>
          <w:szCs w:val="28"/>
          <w:lang w:val="uk-UA"/>
        </w:rPr>
        <w:t xml:space="preserve">Кодексу встановлює підставу для зняття з обліку </w:t>
      </w:r>
      <w:r w:rsidR="002D7EC7" w:rsidRPr="00CB63B4">
        <w:rPr>
          <w:sz w:val="28"/>
          <w:szCs w:val="28"/>
          <w:lang w:val="uk-UA"/>
        </w:rPr>
        <w:t>громадян</w:t>
      </w:r>
      <w:r w:rsidR="00216B5F" w:rsidRPr="00CB63B4">
        <w:rPr>
          <w:sz w:val="28"/>
          <w:szCs w:val="28"/>
          <w:lang w:val="uk-UA"/>
        </w:rPr>
        <w:t xml:space="preserve">, які потребують поліпшення житлових умов </w:t>
      </w:r>
      <w:r w:rsidR="00986EAF" w:rsidRPr="00CB63B4">
        <w:rPr>
          <w:sz w:val="28"/>
          <w:szCs w:val="28"/>
          <w:lang w:val="uk-UA"/>
        </w:rPr>
        <w:t xml:space="preserve">і </w:t>
      </w:r>
      <w:r w:rsidR="00216B5F" w:rsidRPr="00CB63B4">
        <w:rPr>
          <w:sz w:val="28"/>
          <w:szCs w:val="28"/>
          <w:lang w:val="uk-UA"/>
        </w:rPr>
        <w:t>перебува</w:t>
      </w:r>
      <w:r w:rsidR="00DF5C55" w:rsidRPr="00CB63B4">
        <w:rPr>
          <w:sz w:val="28"/>
          <w:szCs w:val="28"/>
          <w:lang w:val="uk-UA"/>
        </w:rPr>
        <w:t>ють на</w:t>
      </w:r>
      <w:r w:rsidRPr="00CB63B4">
        <w:rPr>
          <w:sz w:val="28"/>
          <w:szCs w:val="28"/>
          <w:lang w:val="uk-UA"/>
        </w:rPr>
        <w:t xml:space="preserve"> </w:t>
      </w:r>
      <w:r w:rsidR="00DF5C55" w:rsidRPr="00CB63B4">
        <w:rPr>
          <w:sz w:val="28"/>
          <w:szCs w:val="28"/>
          <w:lang w:val="uk-UA"/>
        </w:rPr>
        <w:t xml:space="preserve">обліку </w:t>
      </w:r>
      <w:r w:rsidR="00F93187">
        <w:rPr>
          <w:sz w:val="28"/>
          <w:szCs w:val="28"/>
          <w:lang w:val="uk-UA"/>
        </w:rPr>
        <w:t>громадян</w:t>
      </w:r>
      <w:r w:rsidR="00BB355E" w:rsidRPr="00CB63B4">
        <w:rPr>
          <w:sz w:val="28"/>
          <w:szCs w:val="28"/>
          <w:lang w:val="uk-UA"/>
        </w:rPr>
        <w:t xml:space="preserve">, які потребують поліпшення житлових умов, </w:t>
      </w:r>
      <w:r w:rsidR="00DF5C55" w:rsidRPr="00CB63B4">
        <w:rPr>
          <w:sz w:val="28"/>
          <w:szCs w:val="28"/>
          <w:lang w:val="uk-UA"/>
        </w:rPr>
        <w:t>за місцем роботи</w:t>
      </w:r>
      <w:r w:rsidR="002D7EC7" w:rsidRPr="00CB63B4">
        <w:rPr>
          <w:sz w:val="28"/>
          <w:szCs w:val="28"/>
          <w:lang w:val="uk-UA"/>
        </w:rPr>
        <w:t xml:space="preserve"> (стаття 37 Кодексу)</w:t>
      </w:r>
      <w:r w:rsidR="00DC2A38" w:rsidRPr="00CB63B4">
        <w:rPr>
          <w:sz w:val="28"/>
          <w:szCs w:val="28"/>
          <w:lang w:val="uk-UA"/>
        </w:rPr>
        <w:t>.</w:t>
      </w:r>
    </w:p>
    <w:p w:rsidR="00A071A5" w:rsidRPr="00CB63B4" w:rsidRDefault="00A2596C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Суд</w:t>
      </w:r>
      <w:r w:rsidR="006F2FF4" w:rsidRPr="00CB63B4">
        <w:rPr>
          <w:sz w:val="28"/>
          <w:szCs w:val="28"/>
          <w:lang w:val="uk-UA"/>
        </w:rPr>
        <w:t xml:space="preserve">и системи судоустрою, що розглядали справу </w:t>
      </w:r>
      <w:proofErr w:type="spellStart"/>
      <w:r w:rsidR="006F2FF4" w:rsidRPr="00CB63B4">
        <w:rPr>
          <w:sz w:val="28"/>
          <w:szCs w:val="28"/>
          <w:lang w:val="uk-UA"/>
        </w:rPr>
        <w:t>Пашковського</w:t>
      </w:r>
      <w:proofErr w:type="spellEnd"/>
      <w:r w:rsidR="006F2FF4" w:rsidRPr="00CB63B4">
        <w:rPr>
          <w:sz w:val="28"/>
          <w:szCs w:val="28"/>
          <w:lang w:val="uk-UA"/>
        </w:rPr>
        <w:t xml:space="preserve"> Л.І.</w:t>
      </w:r>
      <w:r w:rsidR="00DC2A38" w:rsidRPr="00CB63B4">
        <w:rPr>
          <w:sz w:val="28"/>
          <w:szCs w:val="28"/>
          <w:lang w:val="uk-UA"/>
        </w:rPr>
        <w:t>, установ</w:t>
      </w:r>
      <w:r w:rsidRPr="00CB63B4">
        <w:rPr>
          <w:sz w:val="28"/>
          <w:szCs w:val="28"/>
          <w:lang w:val="uk-UA"/>
        </w:rPr>
        <w:t>или</w:t>
      </w:r>
      <w:r w:rsidR="00DC2A38" w:rsidRPr="00CB63B4">
        <w:rPr>
          <w:sz w:val="28"/>
          <w:szCs w:val="28"/>
          <w:lang w:val="uk-UA"/>
        </w:rPr>
        <w:t xml:space="preserve">, що </w:t>
      </w:r>
      <w:r w:rsidR="00334167" w:rsidRPr="00CB63B4">
        <w:rPr>
          <w:sz w:val="28"/>
          <w:szCs w:val="28"/>
          <w:lang w:val="uk-UA"/>
        </w:rPr>
        <w:t>на момент ухвалення судов</w:t>
      </w:r>
      <w:r w:rsidR="001A31FE" w:rsidRPr="00CB63B4">
        <w:rPr>
          <w:sz w:val="28"/>
          <w:szCs w:val="28"/>
          <w:lang w:val="uk-UA"/>
        </w:rPr>
        <w:t>их</w:t>
      </w:r>
      <w:r w:rsidR="00334167" w:rsidRPr="00CB63B4">
        <w:rPr>
          <w:sz w:val="28"/>
          <w:szCs w:val="28"/>
          <w:lang w:val="uk-UA"/>
        </w:rPr>
        <w:t xml:space="preserve"> рішен</w:t>
      </w:r>
      <w:r w:rsidR="001A31FE" w:rsidRPr="00CB63B4">
        <w:rPr>
          <w:sz w:val="28"/>
          <w:szCs w:val="28"/>
          <w:lang w:val="uk-UA"/>
        </w:rPr>
        <w:t>ь</w:t>
      </w:r>
      <w:r w:rsidR="00334167" w:rsidRPr="00CB63B4">
        <w:rPr>
          <w:sz w:val="28"/>
          <w:szCs w:val="28"/>
          <w:lang w:val="uk-UA"/>
        </w:rPr>
        <w:t xml:space="preserve"> </w:t>
      </w:r>
      <w:r w:rsidR="001A31FE" w:rsidRPr="00CB63B4">
        <w:rPr>
          <w:sz w:val="28"/>
          <w:szCs w:val="28"/>
          <w:lang w:val="uk-UA"/>
        </w:rPr>
        <w:t>у</w:t>
      </w:r>
      <w:r w:rsidR="00334167" w:rsidRPr="00CB63B4">
        <w:rPr>
          <w:sz w:val="28"/>
          <w:szCs w:val="28"/>
          <w:lang w:val="uk-UA"/>
        </w:rPr>
        <w:t xml:space="preserve"> його справі</w:t>
      </w:r>
      <w:r w:rsidR="00F93187">
        <w:rPr>
          <w:sz w:val="28"/>
          <w:szCs w:val="28"/>
          <w:lang w:val="uk-UA"/>
        </w:rPr>
        <w:t xml:space="preserve"> </w:t>
      </w:r>
      <w:r w:rsidR="00F93187" w:rsidRPr="00CB63B4">
        <w:rPr>
          <w:sz w:val="28"/>
          <w:szCs w:val="28"/>
          <w:lang w:val="uk-UA"/>
        </w:rPr>
        <w:t>він</w:t>
      </w:r>
      <w:r w:rsidR="00334167" w:rsidRPr="00CB63B4">
        <w:rPr>
          <w:sz w:val="28"/>
          <w:szCs w:val="28"/>
          <w:lang w:val="uk-UA"/>
        </w:rPr>
        <w:t xml:space="preserve"> перебував на обліку громадян, які потребують поліпшення житлових умов, за місцем </w:t>
      </w:r>
      <w:r w:rsidR="00334167" w:rsidRPr="00CB63B4">
        <w:rPr>
          <w:sz w:val="28"/>
          <w:szCs w:val="28"/>
          <w:lang w:val="uk-UA"/>
        </w:rPr>
        <w:lastRenderedPageBreak/>
        <w:t xml:space="preserve">проживання </w:t>
      </w:r>
      <w:r w:rsidR="002D7EC7" w:rsidRPr="00CB63B4">
        <w:rPr>
          <w:sz w:val="28"/>
          <w:szCs w:val="28"/>
          <w:lang w:val="uk-UA"/>
        </w:rPr>
        <w:t>(стаття 36 Кодексу)</w:t>
      </w:r>
      <w:r w:rsidR="00334167" w:rsidRPr="00CB63B4">
        <w:rPr>
          <w:sz w:val="28"/>
          <w:szCs w:val="28"/>
          <w:lang w:val="uk-UA"/>
        </w:rPr>
        <w:t>.</w:t>
      </w:r>
      <w:r w:rsidR="002D7EC7" w:rsidRPr="00CB63B4">
        <w:rPr>
          <w:sz w:val="28"/>
          <w:szCs w:val="28"/>
          <w:lang w:val="uk-UA"/>
        </w:rPr>
        <w:t xml:space="preserve"> </w:t>
      </w:r>
      <w:r w:rsidR="001A31FE" w:rsidRPr="00CB63B4">
        <w:rPr>
          <w:sz w:val="28"/>
          <w:szCs w:val="28"/>
          <w:lang w:val="uk-UA"/>
        </w:rPr>
        <w:t>Водночас</w:t>
      </w:r>
      <w:r w:rsidR="00FC61D6" w:rsidRPr="00CB63B4">
        <w:rPr>
          <w:sz w:val="28"/>
          <w:szCs w:val="28"/>
          <w:lang w:val="uk-UA"/>
        </w:rPr>
        <w:t xml:space="preserve"> </w:t>
      </w:r>
      <w:r w:rsidR="008840AD" w:rsidRPr="00CB63B4">
        <w:rPr>
          <w:sz w:val="28"/>
          <w:szCs w:val="28"/>
          <w:lang w:val="uk-UA"/>
        </w:rPr>
        <w:t>Академія як установа, що не веде облік</w:t>
      </w:r>
      <w:r w:rsidR="001A31FE" w:rsidRPr="00CB63B4">
        <w:rPr>
          <w:sz w:val="28"/>
          <w:szCs w:val="28"/>
          <w:lang w:val="uk-UA"/>
        </w:rPr>
        <w:t>у</w:t>
      </w:r>
      <w:r w:rsidR="00B14BE5" w:rsidRPr="00CB63B4">
        <w:rPr>
          <w:sz w:val="28"/>
          <w:szCs w:val="28"/>
          <w:lang w:val="uk-UA"/>
        </w:rPr>
        <w:t xml:space="preserve"> громадян, які потребують поліпшення житлових умов, за місцем роботи</w:t>
      </w:r>
      <w:r w:rsidR="008840AD" w:rsidRPr="00CB63B4">
        <w:rPr>
          <w:sz w:val="28"/>
          <w:szCs w:val="28"/>
          <w:lang w:val="uk-UA"/>
        </w:rPr>
        <w:t xml:space="preserve">, сформувала </w:t>
      </w:r>
      <w:r w:rsidR="00AB232D" w:rsidRPr="00CB63B4">
        <w:rPr>
          <w:sz w:val="28"/>
          <w:szCs w:val="28"/>
          <w:lang w:val="uk-UA"/>
        </w:rPr>
        <w:t>Контрольний список</w:t>
      </w:r>
      <w:r w:rsidR="001A31FE" w:rsidRPr="00CB63B4">
        <w:rPr>
          <w:sz w:val="28"/>
          <w:szCs w:val="28"/>
          <w:lang w:val="uk-UA"/>
        </w:rPr>
        <w:t xml:space="preserve">, </w:t>
      </w:r>
      <w:r w:rsidR="0090477F">
        <w:rPr>
          <w:sz w:val="28"/>
          <w:szCs w:val="28"/>
          <w:lang w:val="uk-UA"/>
        </w:rPr>
        <w:t>до</w:t>
      </w:r>
      <w:r w:rsidR="001A31FE" w:rsidRPr="00CB63B4">
        <w:rPr>
          <w:sz w:val="28"/>
          <w:szCs w:val="28"/>
          <w:lang w:val="uk-UA"/>
        </w:rPr>
        <w:t xml:space="preserve"> як</w:t>
      </w:r>
      <w:r w:rsidR="0090477F">
        <w:rPr>
          <w:sz w:val="28"/>
          <w:szCs w:val="28"/>
          <w:lang w:val="uk-UA"/>
        </w:rPr>
        <w:t>ого</w:t>
      </w:r>
      <w:r w:rsidR="001A31FE" w:rsidRPr="00CB63B4">
        <w:rPr>
          <w:sz w:val="28"/>
          <w:szCs w:val="28"/>
          <w:lang w:val="uk-UA"/>
        </w:rPr>
        <w:t xml:space="preserve"> включила</w:t>
      </w:r>
      <w:r w:rsidR="008840AD" w:rsidRPr="00CB63B4">
        <w:rPr>
          <w:sz w:val="28"/>
          <w:szCs w:val="28"/>
          <w:lang w:val="uk-UA"/>
        </w:rPr>
        <w:t xml:space="preserve"> громадян</w:t>
      </w:r>
      <w:r w:rsidR="00A071A5" w:rsidRPr="00CB63B4">
        <w:rPr>
          <w:sz w:val="28"/>
          <w:szCs w:val="28"/>
          <w:lang w:val="uk-UA"/>
        </w:rPr>
        <w:t xml:space="preserve">, </w:t>
      </w:r>
      <w:r w:rsidR="008840AD" w:rsidRPr="00CB63B4">
        <w:rPr>
          <w:sz w:val="28"/>
          <w:szCs w:val="28"/>
          <w:lang w:val="uk-UA"/>
        </w:rPr>
        <w:t xml:space="preserve">які працюють </w:t>
      </w:r>
      <w:r w:rsidR="001A31FE" w:rsidRPr="00CB63B4">
        <w:rPr>
          <w:sz w:val="28"/>
          <w:szCs w:val="28"/>
          <w:lang w:val="uk-UA"/>
        </w:rPr>
        <w:t xml:space="preserve">в Академії </w:t>
      </w:r>
      <w:r w:rsidR="008840AD" w:rsidRPr="00CB63B4">
        <w:rPr>
          <w:sz w:val="28"/>
          <w:szCs w:val="28"/>
          <w:lang w:val="uk-UA"/>
        </w:rPr>
        <w:t xml:space="preserve">та перебувають на обліку </w:t>
      </w:r>
      <w:r w:rsidR="00B14BE5" w:rsidRPr="00CB63B4">
        <w:rPr>
          <w:sz w:val="28"/>
          <w:szCs w:val="28"/>
          <w:lang w:val="uk-UA"/>
        </w:rPr>
        <w:t xml:space="preserve">громадян, які потребують поліпшення житлових умов, </w:t>
      </w:r>
      <w:r w:rsidR="008840AD" w:rsidRPr="00CB63B4">
        <w:rPr>
          <w:sz w:val="28"/>
          <w:szCs w:val="28"/>
          <w:lang w:val="uk-UA"/>
        </w:rPr>
        <w:t xml:space="preserve">за місцем проживання. </w:t>
      </w:r>
    </w:p>
    <w:p w:rsidR="00506685" w:rsidRPr="00CB63B4" w:rsidRDefault="00506685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Суди системи судоустрою, </w:t>
      </w:r>
      <w:r w:rsidR="002D7EC7" w:rsidRPr="00CB63B4">
        <w:rPr>
          <w:sz w:val="28"/>
          <w:szCs w:val="28"/>
          <w:lang w:val="uk-UA"/>
        </w:rPr>
        <w:t>вирішуючи</w:t>
      </w:r>
      <w:r w:rsidRPr="00CB63B4">
        <w:rPr>
          <w:sz w:val="28"/>
          <w:szCs w:val="28"/>
          <w:lang w:val="uk-UA"/>
        </w:rPr>
        <w:t xml:space="preserve"> справу </w:t>
      </w:r>
      <w:proofErr w:type="spellStart"/>
      <w:r w:rsidRPr="00CB63B4">
        <w:rPr>
          <w:sz w:val="28"/>
          <w:szCs w:val="28"/>
          <w:lang w:val="uk-UA"/>
        </w:rPr>
        <w:t>Пашковського</w:t>
      </w:r>
      <w:proofErr w:type="spellEnd"/>
      <w:r w:rsidRPr="00CB63B4">
        <w:rPr>
          <w:sz w:val="28"/>
          <w:szCs w:val="28"/>
          <w:lang w:val="uk-UA"/>
        </w:rPr>
        <w:t xml:space="preserve"> Л.І., з’ясовували правомірність виключення </w:t>
      </w:r>
      <w:r w:rsidR="006C7BFF" w:rsidRPr="00CB63B4">
        <w:rPr>
          <w:sz w:val="28"/>
          <w:szCs w:val="28"/>
          <w:lang w:val="uk-UA"/>
        </w:rPr>
        <w:t xml:space="preserve">його </w:t>
      </w:r>
      <w:r w:rsidRPr="00CB63B4">
        <w:rPr>
          <w:sz w:val="28"/>
          <w:szCs w:val="28"/>
          <w:lang w:val="uk-UA"/>
        </w:rPr>
        <w:t xml:space="preserve">з Контрольного списку і не </w:t>
      </w:r>
      <w:r w:rsidR="00A346B7" w:rsidRPr="00CB63B4">
        <w:rPr>
          <w:sz w:val="28"/>
          <w:szCs w:val="28"/>
          <w:lang w:val="uk-UA"/>
        </w:rPr>
        <w:t>ухвалювали рішення</w:t>
      </w:r>
      <w:r w:rsidRPr="00CB63B4">
        <w:rPr>
          <w:sz w:val="28"/>
          <w:szCs w:val="28"/>
          <w:lang w:val="uk-UA"/>
        </w:rPr>
        <w:t xml:space="preserve"> щодо </w:t>
      </w:r>
      <w:r w:rsidR="00A346B7" w:rsidRPr="00CB63B4">
        <w:rPr>
          <w:sz w:val="28"/>
          <w:szCs w:val="28"/>
          <w:lang w:val="uk-UA"/>
        </w:rPr>
        <w:t>зняття його з</w:t>
      </w:r>
      <w:r w:rsidRPr="00CB63B4">
        <w:rPr>
          <w:sz w:val="28"/>
          <w:szCs w:val="28"/>
          <w:lang w:val="uk-UA"/>
        </w:rPr>
        <w:t xml:space="preserve"> обліку громадян, </w:t>
      </w:r>
      <w:r w:rsidR="006C7BFF" w:rsidRPr="00CB63B4">
        <w:rPr>
          <w:sz w:val="28"/>
          <w:szCs w:val="28"/>
          <w:lang w:val="uk-UA"/>
        </w:rPr>
        <w:t>які</w:t>
      </w:r>
      <w:r w:rsidRPr="00CB63B4">
        <w:rPr>
          <w:sz w:val="28"/>
          <w:szCs w:val="28"/>
          <w:lang w:val="uk-UA"/>
        </w:rPr>
        <w:t xml:space="preserve"> потребують поліпшення житлових ум</w:t>
      </w:r>
      <w:r w:rsidR="00B14BE5" w:rsidRPr="00CB63B4">
        <w:rPr>
          <w:sz w:val="28"/>
          <w:szCs w:val="28"/>
          <w:lang w:val="uk-UA"/>
        </w:rPr>
        <w:t>ов, підстави для якого визначені в частині другій</w:t>
      </w:r>
      <w:r w:rsidR="002425F0" w:rsidRPr="00CB63B4">
        <w:rPr>
          <w:sz w:val="28"/>
          <w:szCs w:val="28"/>
          <w:lang w:val="uk-UA"/>
        </w:rPr>
        <w:br/>
      </w:r>
      <w:r w:rsidR="00B14BE5" w:rsidRPr="00CB63B4">
        <w:rPr>
          <w:sz w:val="28"/>
          <w:szCs w:val="28"/>
          <w:lang w:val="uk-UA"/>
        </w:rPr>
        <w:t>статті 40 Кодексу.</w:t>
      </w:r>
      <w:r w:rsidRPr="00CB63B4">
        <w:rPr>
          <w:sz w:val="28"/>
          <w:szCs w:val="28"/>
          <w:lang w:val="uk-UA"/>
        </w:rPr>
        <w:t xml:space="preserve"> </w:t>
      </w:r>
      <w:r w:rsidR="002D7EC7" w:rsidRPr="00CB63B4">
        <w:rPr>
          <w:sz w:val="28"/>
          <w:szCs w:val="28"/>
          <w:lang w:val="uk-UA"/>
        </w:rPr>
        <w:t>Крім того, в остаточному судовому рішенні</w:t>
      </w:r>
      <w:r w:rsidRPr="00CB63B4">
        <w:rPr>
          <w:sz w:val="28"/>
          <w:szCs w:val="28"/>
          <w:lang w:val="uk-UA"/>
        </w:rPr>
        <w:t xml:space="preserve"> </w:t>
      </w:r>
      <w:r w:rsidR="006C7BFF" w:rsidRPr="00CB63B4">
        <w:rPr>
          <w:sz w:val="28"/>
          <w:szCs w:val="28"/>
          <w:lang w:val="uk-UA"/>
        </w:rPr>
        <w:t>у справі</w:t>
      </w:r>
      <w:r w:rsidR="0090477F">
        <w:rPr>
          <w:sz w:val="28"/>
          <w:szCs w:val="28"/>
          <w:lang w:val="uk-UA"/>
        </w:rPr>
        <w:t xml:space="preserve"> </w:t>
      </w:r>
      <w:proofErr w:type="spellStart"/>
      <w:r w:rsidR="0090477F" w:rsidRPr="00CB63B4">
        <w:rPr>
          <w:sz w:val="28"/>
          <w:szCs w:val="28"/>
          <w:lang w:val="uk-UA"/>
        </w:rPr>
        <w:t>Пашковського</w:t>
      </w:r>
      <w:proofErr w:type="spellEnd"/>
      <w:r w:rsidR="0090477F" w:rsidRPr="00CB63B4">
        <w:rPr>
          <w:sz w:val="28"/>
          <w:szCs w:val="28"/>
          <w:lang w:val="uk-UA"/>
        </w:rPr>
        <w:t xml:space="preserve"> Л.І.</w:t>
      </w:r>
      <w:r w:rsidR="006C7BFF" w:rsidRPr="00CB63B4">
        <w:rPr>
          <w:sz w:val="28"/>
          <w:szCs w:val="28"/>
          <w:lang w:val="uk-UA"/>
        </w:rPr>
        <w:t xml:space="preserve"> </w:t>
      </w:r>
      <w:r w:rsidR="002D7EC7" w:rsidRPr="00CB63B4">
        <w:rPr>
          <w:sz w:val="28"/>
          <w:szCs w:val="28"/>
          <w:lang w:val="uk-UA"/>
        </w:rPr>
        <w:t>з</w:t>
      </w:r>
      <w:r w:rsidR="00EA39F9" w:rsidRPr="00CB63B4">
        <w:rPr>
          <w:sz w:val="28"/>
          <w:szCs w:val="28"/>
          <w:lang w:val="uk-UA"/>
        </w:rPr>
        <w:t>аз</w:t>
      </w:r>
      <w:r w:rsidR="002D7EC7" w:rsidRPr="00CB63B4">
        <w:rPr>
          <w:sz w:val="28"/>
          <w:szCs w:val="28"/>
          <w:lang w:val="uk-UA"/>
        </w:rPr>
        <w:t>начено</w:t>
      </w:r>
      <w:r w:rsidRPr="00CB63B4">
        <w:rPr>
          <w:sz w:val="28"/>
          <w:szCs w:val="28"/>
          <w:lang w:val="uk-UA"/>
        </w:rPr>
        <w:t xml:space="preserve">, що виключення з </w:t>
      </w:r>
      <w:r w:rsidR="00A346B7" w:rsidRPr="00CB63B4">
        <w:rPr>
          <w:sz w:val="28"/>
          <w:szCs w:val="28"/>
          <w:lang w:val="uk-UA"/>
        </w:rPr>
        <w:t>К</w:t>
      </w:r>
      <w:r w:rsidRPr="00CB63B4">
        <w:rPr>
          <w:sz w:val="28"/>
          <w:szCs w:val="28"/>
          <w:lang w:val="uk-UA"/>
        </w:rPr>
        <w:t>онтрольного списку жодним чином не впли</w:t>
      </w:r>
      <w:r w:rsidR="002D7EC7" w:rsidRPr="00CB63B4">
        <w:rPr>
          <w:sz w:val="28"/>
          <w:szCs w:val="28"/>
          <w:lang w:val="uk-UA"/>
        </w:rPr>
        <w:t>нуло</w:t>
      </w:r>
      <w:r w:rsidRPr="00CB63B4">
        <w:rPr>
          <w:sz w:val="28"/>
          <w:szCs w:val="28"/>
          <w:lang w:val="uk-UA"/>
        </w:rPr>
        <w:t xml:space="preserve"> на його облік як громадянина, який потребує поліпшення житлових умов</w:t>
      </w:r>
      <w:r w:rsidR="00A346B7" w:rsidRPr="00CB63B4">
        <w:rPr>
          <w:sz w:val="28"/>
          <w:szCs w:val="28"/>
          <w:lang w:val="uk-UA"/>
        </w:rPr>
        <w:t>.</w:t>
      </w:r>
    </w:p>
    <w:p w:rsidR="000969DC" w:rsidRPr="00CB63B4" w:rsidRDefault="00B14BE5" w:rsidP="00CB63B4">
      <w:pPr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 xml:space="preserve">З огляду на зазначене Другий сенат Конституційного Суду України </w:t>
      </w:r>
      <w:r w:rsidR="000969DC" w:rsidRPr="00CB63B4">
        <w:rPr>
          <w:sz w:val="28"/>
          <w:szCs w:val="28"/>
          <w:lang w:val="uk-UA"/>
        </w:rPr>
        <w:t xml:space="preserve">дійшов висновку, що застосування в остаточному судовому рішенні у справі </w:t>
      </w:r>
      <w:proofErr w:type="spellStart"/>
      <w:r w:rsidR="000969DC" w:rsidRPr="00CB63B4">
        <w:rPr>
          <w:sz w:val="28"/>
          <w:szCs w:val="28"/>
          <w:lang w:val="uk-UA"/>
        </w:rPr>
        <w:t>Пашковського</w:t>
      </w:r>
      <w:proofErr w:type="spellEnd"/>
      <w:r w:rsidR="000969DC" w:rsidRPr="00CB63B4">
        <w:rPr>
          <w:sz w:val="28"/>
          <w:szCs w:val="28"/>
          <w:lang w:val="uk-UA"/>
        </w:rPr>
        <w:t xml:space="preserve"> Л.І. </w:t>
      </w:r>
      <w:r w:rsidR="00EA39F9" w:rsidRPr="00CB63B4">
        <w:rPr>
          <w:sz w:val="28"/>
          <w:szCs w:val="28"/>
          <w:lang w:val="uk-UA"/>
        </w:rPr>
        <w:t xml:space="preserve">пункту 3 частини другої статті </w:t>
      </w:r>
      <w:r w:rsidR="000969DC" w:rsidRPr="00CB63B4">
        <w:rPr>
          <w:sz w:val="28"/>
          <w:szCs w:val="28"/>
          <w:lang w:val="uk-UA"/>
        </w:rPr>
        <w:t xml:space="preserve">40 Кодексу не призвело до порушення його права на </w:t>
      </w:r>
      <w:r w:rsidR="000969DC" w:rsidRPr="00CB63B4">
        <w:rPr>
          <w:rFonts w:eastAsiaTheme="minorHAnsi"/>
          <w:sz w:val="28"/>
          <w:szCs w:val="28"/>
          <w:lang w:val="uk-UA" w:eastAsia="en-US"/>
        </w:rPr>
        <w:t xml:space="preserve">житло, </w:t>
      </w:r>
      <w:r w:rsidR="000969DC" w:rsidRPr="00CB63B4">
        <w:rPr>
          <w:sz w:val="28"/>
          <w:szCs w:val="28"/>
          <w:lang w:val="uk-UA"/>
        </w:rPr>
        <w:t>гарантованого</w:t>
      </w:r>
      <w:r w:rsidR="002D7EC7" w:rsidRPr="00CB63B4">
        <w:rPr>
          <w:sz w:val="28"/>
          <w:szCs w:val="28"/>
          <w:lang w:val="uk-UA"/>
        </w:rPr>
        <w:t xml:space="preserve"> статтею 47 Конституції України</w:t>
      </w:r>
      <w:r w:rsidR="000969DC" w:rsidRPr="00CB63B4">
        <w:rPr>
          <w:sz w:val="28"/>
          <w:szCs w:val="28"/>
          <w:lang w:val="uk-UA"/>
        </w:rPr>
        <w:t>.</w:t>
      </w:r>
    </w:p>
    <w:p w:rsidR="004010E8" w:rsidRPr="00CB63B4" w:rsidRDefault="004010E8" w:rsidP="00CB63B4">
      <w:pPr>
        <w:spacing w:line="372" w:lineRule="auto"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CB63B4">
        <w:rPr>
          <w:sz w:val="28"/>
          <w:szCs w:val="28"/>
          <w:lang w:val="uk-UA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CB63B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36, 55, 56, 62, 67, 77, 83, 86 Закону України „Про Конституційний Суд України“, відповідно до § 45, § 54 Регламенту Конституційного Суду України Другий сенат Конституційного Суду України</w:t>
      </w: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6F0E" w:rsidRPr="00CB63B4" w:rsidRDefault="003C6F0E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b/>
          <w:sz w:val="28"/>
          <w:szCs w:val="28"/>
          <w:lang w:val="uk-UA"/>
        </w:rPr>
        <w:t>у х в а л и в: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Pr="00CB63B4">
        <w:rPr>
          <w:rFonts w:ascii="Times New Roman" w:hAnsi="Times New Roman" w:cs="Times New Roman"/>
          <w:sz w:val="28"/>
          <w:szCs w:val="28"/>
          <w:lang w:val="uk-UA"/>
        </w:rPr>
        <w:t>Пашковського</w:t>
      </w:r>
      <w:proofErr w:type="spellEnd"/>
      <w:r w:rsidRPr="00CB63B4">
        <w:rPr>
          <w:rFonts w:ascii="Times New Roman" w:hAnsi="Times New Roman" w:cs="Times New Roman"/>
          <w:sz w:val="28"/>
          <w:szCs w:val="28"/>
          <w:lang w:val="uk-UA"/>
        </w:rPr>
        <w:t xml:space="preserve"> Леоніда Івановича щодо відповідності </w:t>
      </w:r>
      <w:r w:rsidRPr="00CB63B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Конституції України (конституційності) пункту 3 частини другої статті 40 Житлового кодексу України на підставі пункту 4 статті 62 Закону України „Про Конституційний Суд України“ – неприйнятність конституційної скарги.</w:t>
      </w:r>
    </w:p>
    <w:p w:rsidR="004010E8" w:rsidRPr="00CB63B4" w:rsidRDefault="004010E8" w:rsidP="00CB63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6F0E" w:rsidRDefault="003C6F0E" w:rsidP="00CB63B4">
      <w:pPr>
        <w:autoSpaceDE w:val="0"/>
        <w:autoSpaceDN w:val="0"/>
        <w:adjustRightInd w:val="0"/>
        <w:spacing w:line="372" w:lineRule="auto"/>
        <w:ind w:firstLine="567"/>
        <w:jc w:val="both"/>
        <w:rPr>
          <w:sz w:val="28"/>
          <w:szCs w:val="28"/>
          <w:lang w:val="uk-UA"/>
        </w:rPr>
      </w:pPr>
      <w:r w:rsidRPr="00CB63B4">
        <w:rPr>
          <w:sz w:val="28"/>
          <w:szCs w:val="28"/>
          <w:lang w:val="uk-UA"/>
        </w:rPr>
        <w:t>2. Ухвала Другого сенату Конституційного Суду України є остаточною.</w:t>
      </w:r>
    </w:p>
    <w:p w:rsidR="00CB63B4" w:rsidRDefault="00CB63B4" w:rsidP="00CB63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B63B4" w:rsidRDefault="00CB63B4" w:rsidP="00CB63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CB63B4" w:rsidRDefault="00CB63B4" w:rsidP="00CB63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432676" w:rsidRPr="00432676" w:rsidRDefault="00432676" w:rsidP="00432676">
      <w:pPr>
        <w:autoSpaceDE w:val="0"/>
        <w:autoSpaceDN w:val="0"/>
        <w:adjustRightInd w:val="0"/>
        <w:ind w:left="4254"/>
        <w:jc w:val="center"/>
        <w:rPr>
          <w:b/>
          <w:caps/>
          <w:sz w:val="28"/>
          <w:szCs w:val="28"/>
          <w:lang w:val="uk-UA" w:eastAsia="uk-UA"/>
        </w:rPr>
      </w:pPr>
      <w:bookmarkStart w:id="0" w:name="_GoBack"/>
      <w:r w:rsidRPr="00432676">
        <w:rPr>
          <w:b/>
          <w:caps/>
          <w:sz w:val="28"/>
          <w:szCs w:val="28"/>
          <w:lang w:val="uk-UA" w:eastAsia="uk-UA"/>
        </w:rPr>
        <w:t>Другий сенат</w:t>
      </w:r>
    </w:p>
    <w:p w:rsidR="00CB63B4" w:rsidRPr="00432676" w:rsidRDefault="00432676" w:rsidP="00432676">
      <w:pPr>
        <w:autoSpaceDE w:val="0"/>
        <w:autoSpaceDN w:val="0"/>
        <w:adjustRightInd w:val="0"/>
        <w:ind w:left="4254"/>
        <w:jc w:val="center"/>
        <w:rPr>
          <w:b/>
          <w:caps/>
          <w:sz w:val="28"/>
          <w:szCs w:val="28"/>
          <w:lang w:val="uk-UA"/>
        </w:rPr>
      </w:pPr>
      <w:r w:rsidRPr="00432676">
        <w:rPr>
          <w:b/>
          <w:caps/>
          <w:sz w:val="28"/>
          <w:szCs w:val="28"/>
          <w:lang w:val="uk-UA" w:eastAsia="uk-UA"/>
        </w:rPr>
        <w:t>Конституційного Суду України</w:t>
      </w:r>
      <w:bookmarkEnd w:id="0"/>
    </w:p>
    <w:sectPr w:rsidR="00CB63B4" w:rsidRPr="00432676" w:rsidSect="00CB63B4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4A" w:rsidRDefault="0088434A">
      <w:r>
        <w:separator/>
      </w:r>
    </w:p>
  </w:endnote>
  <w:endnote w:type="continuationSeparator" w:id="0">
    <w:p w:rsidR="0088434A" w:rsidRDefault="008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4" w:rsidRPr="00CB63B4" w:rsidRDefault="00CB63B4">
    <w:pPr>
      <w:pStyle w:val="ab"/>
      <w:rPr>
        <w:sz w:val="10"/>
        <w:szCs w:val="10"/>
        <w:lang w:val="en-US"/>
      </w:rPr>
    </w:pPr>
    <w:r w:rsidRPr="00CB63B4">
      <w:rPr>
        <w:sz w:val="10"/>
        <w:szCs w:val="10"/>
      </w:rPr>
      <w:fldChar w:fldCharType="begin"/>
    </w:r>
    <w:r w:rsidRPr="00CB63B4">
      <w:rPr>
        <w:sz w:val="10"/>
        <w:szCs w:val="10"/>
        <w:lang w:val="uk-UA"/>
      </w:rPr>
      <w:instrText xml:space="preserve"> FILENAME \p \* MERGEFORMAT </w:instrText>
    </w:r>
    <w:r w:rsidRPr="00CB63B4">
      <w:rPr>
        <w:sz w:val="10"/>
        <w:szCs w:val="10"/>
      </w:rPr>
      <w:fldChar w:fldCharType="separate"/>
    </w:r>
    <w:r w:rsidR="00432676">
      <w:rPr>
        <w:noProof/>
        <w:sz w:val="10"/>
        <w:szCs w:val="10"/>
        <w:lang w:val="uk-UA"/>
      </w:rPr>
      <w:t>G:\2025\Suddi\Uhvala senata\II senat\1.docx</w:t>
    </w:r>
    <w:r w:rsidRPr="00CB63B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4" w:rsidRPr="00CB63B4" w:rsidRDefault="00CB63B4">
    <w:pPr>
      <w:pStyle w:val="ab"/>
      <w:rPr>
        <w:sz w:val="10"/>
        <w:szCs w:val="10"/>
        <w:lang w:val="en-US"/>
      </w:rPr>
    </w:pPr>
    <w:r w:rsidRPr="00CB63B4">
      <w:rPr>
        <w:sz w:val="10"/>
        <w:szCs w:val="10"/>
      </w:rPr>
      <w:fldChar w:fldCharType="begin"/>
    </w:r>
    <w:r w:rsidRPr="00CB63B4">
      <w:rPr>
        <w:sz w:val="10"/>
        <w:szCs w:val="10"/>
        <w:lang w:val="uk-UA"/>
      </w:rPr>
      <w:instrText xml:space="preserve"> FILENAME \p \* MERGEFORMAT </w:instrText>
    </w:r>
    <w:r w:rsidRPr="00CB63B4">
      <w:rPr>
        <w:sz w:val="10"/>
        <w:szCs w:val="10"/>
      </w:rPr>
      <w:fldChar w:fldCharType="separate"/>
    </w:r>
    <w:r w:rsidR="00432676">
      <w:rPr>
        <w:noProof/>
        <w:sz w:val="10"/>
        <w:szCs w:val="10"/>
        <w:lang w:val="uk-UA"/>
      </w:rPr>
      <w:t>G:\2025\Suddi\Uhvala senata\II senat\1.docx</w:t>
    </w:r>
    <w:r w:rsidRPr="00CB63B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4A" w:rsidRDefault="0088434A">
      <w:r>
        <w:separator/>
      </w:r>
    </w:p>
  </w:footnote>
  <w:footnote w:type="continuationSeparator" w:id="0">
    <w:p w:rsidR="0088434A" w:rsidRDefault="008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Default="005229CB" w:rsidP="008955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502" w:rsidRDefault="00432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02" w:rsidRPr="00094632" w:rsidRDefault="005229CB" w:rsidP="008955F4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94632">
      <w:rPr>
        <w:rStyle w:val="a5"/>
        <w:sz w:val="28"/>
        <w:szCs w:val="28"/>
      </w:rPr>
      <w:fldChar w:fldCharType="begin"/>
    </w:r>
    <w:r w:rsidRPr="00094632">
      <w:rPr>
        <w:rStyle w:val="a5"/>
        <w:sz w:val="28"/>
        <w:szCs w:val="28"/>
      </w:rPr>
      <w:instrText xml:space="preserve">PAGE  </w:instrText>
    </w:r>
    <w:r w:rsidRPr="00094632">
      <w:rPr>
        <w:rStyle w:val="a5"/>
        <w:sz w:val="28"/>
        <w:szCs w:val="28"/>
      </w:rPr>
      <w:fldChar w:fldCharType="separate"/>
    </w:r>
    <w:r w:rsidR="00432676">
      <w:rPr>
        <w:rStyle w:val="a5"/>
        <w:noProof/>
        <w:sz w:val="28"/>
        <w:szCs w:val="28"/>
      </w:rPr>
      <w:t>7</w:t>
    </w:r>
    <w:r w:rsidRPr="00094632">
      <w:rPr>
        <w:rStyle w:val="a5"/>
        <w:sz w:val="28"/>
        <w:szCs w:val="28"/>
      </w:rPr>
      <w:fldChar w:fldCharType="end"/>
    </w:r>
  </w:p>
  <w:p w:rsidR="00E01502" w:rsidRPr="00094632" w:rsidRDefault="00432676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E8"/>
    <w:rsid w:val="00001FDB"/>
    <w:rsid w:val="00027302"/>
    <w:rsid w:val="0006068C"/>
    <w:rsid w:val="00061E15"/>
    <w:rsid w:val="0007169F"/>
    <w:rsid w:val="00075709"/>
    <w:rsid w:val="00077793"/>
    <w:rsid w:val="000926F9"/>
    <w:rsid w:val="000969DC"/>
    <w:rsid w:val="000A5A9A"/>
    <w:rsid w:val="000A6335"/>
    <w:rsid w:val="000B43C2"/>
    <w:rsid w:val="000C12A0"/>
    <w:rsid w:val="000E4056"/>
    <w:rsid w:val="000F0F0A"/>
    <w:rsid w:val="001008BE"/>
    <w:rsid w:val="00115346"/>
    <w:rsid w:val="001226D0"/>
    <w:rsid w:val="0012324C"/>
    <w:rsid w:val="00147441"/>
    <w:rsid w:val="00155403"/>
    <w:rsid w:val="00172ED0"/>
    <w:rsid w:val="00174939"/>
    <w:rsid w:val="001A31FE"/>
    <w:rsid w:val="0020792A"/>
    <w:rsid w:val="00216B5F"/>
    <w:rsid w:val="002425F0"/>
    <w:rsid w:val="0026092A"/>
    <w:rsid w:val="00265B4A"/>
    <w:rsid w:val="00266DBC"/>
    <w:rsid w:val="00272828"/>
    <w:rsid w:val="00276A0C"/>
    <w:rsid w:val="00280617"/>
    <w:rsid w:val="002A22D9"/>
    <w:rsid w:val="002B24D8"/>
    <w:rsid w:val="002D3F40"/>
    <w:rsid w:val="002D425F"/>
    <w:rsid w:val="002D7EC7"/>
    <w:rsid w:val="003041C1"/>
    <w:rsid w:val="003266CC"/>
    <w:rsid w:val="00334167"/>
    <w:rsid w:val="0034222D"/>
    <w:rsid w:val="0034238B"/>
    <w:rsid w:val="00351817"/>
    <w:rsid w:val="00352034"/>
    <w:rsid w:val="003622A8"/>
    <w:rsid w:val="003C6F0E"/>
    <w:rsid w:val="003D4477"/>
    <w:rsid w:val="003F26C6"/>
    <w:rsid w:val="003F7618"/>
    <w:rsid w:val="004010E8"/>
    <w:rsid w:val="004078F1"/>
    <w:rsid w:val="00432676"/>
    <w:rsid w:val="00444FFC"/>
    <w:rsid w:val="004930A9"/>
    <w:rsid w:val="004B73DB"/>
    <w:rsid w:val="004C3FFB"/>
    <w:rsid w:val="004D648C"/>
    <w:rsid w:val="004F3BF3"/>
    <w:rsid w:val="00501508"/>
    <w:rsid w:val="00506685"/>
    <w:rsid w:val="00512E59"/>
    <w:rsid w:val="005229CB"/>
    <w:rsid w:val="00527656"/>
    <w:rsid w:val="00550829"/>
    <w:rsid w:val="00565522"/>
    <w:rsid w:val="005854FA"/>
    <w:rsid w:val="0058752F"/>
    <w:rsid w:val="005B2DEC"/>
    <w:rsid w:val="005C0CA8"/>
    <w:rsid w:val="005D042F"/>
    <w:rsid w:val="005E2434"/>
    <w:rsid w:val="006176F4"/>
    <w:rsid w:val="00657B54"/>
    <w:rsid w:val="00657BD6"/>
    <w:rsid w:val="0066358C"/>
    <w:rsid w:val="00671DD9"/>
    <w:rsid w:val="00687428"/>
    <w:rsid w:val="0069336E"/>
    <w:rsid w:val="006B7742"/>
    <w:rsid w:val="006C05F8"/>
    <w:rsid w:val="006C7BFF"/>
    <w:rsid w:val="006D46B3"/>
    <w:rsid w:val="006F2FF4"/>
    <w:rsid w:val="006F517E"/>
    <w:rsid w:val="00703858"/>
    <w:rsid w:val="007115A7"/>
    <w:rsid w:val="007232F3"/>
    <w:rsid w:val="00740B20"/>
    <w:rsid w:val="00780D79"/>
    <w:rsid w:val="007C34CC"/>
    <w:rsid w:val="007C725D"/>
    <w:rsid w:val="007E0AF4"/>
    <w:rsid w:val="00805627"/>
    <w:rsid w:val="00847CBE"/>
    <w:rsid w:val="008618E5"/>
    <w:rsid w:val="0086267A"/>
    <w:rsid w:val="0086668F"/>
    <w:rsid w:val="008806EB"/>
    <w:rsid w:val="00881CF7"/>
    <w:rsid w:val="008828B8"/>
    <w:rsid w:val="008840AD"/>
    <w:rsid w:val="0088434A"/>
    <w:rsid w:val="008A3840"/>
    <w:rsid w:val="008B4620"/>
    <w:rsid w:val="008B5DEC"/>
    <w:rsid w:val="008E03D7"/>
    <w:rsid w:val="008F0258"/>
    <w:rsid w:val="00903742"/>
    <w:rsid w:val="0090477F"/>
    <w:rsid w:val="00910C5E"/>
    <w:rsid w:val="009169E9"/>
    <w:rsid w:val="00917E1D"/>
    <w:rsid w:val="00920118"/>
    <w:rsid w:val="009308B8"/>
    <w:rsid w:val="0095120B"/>
    <w:rsid w:val="00962B0E"/>
    <w:rsid w:val="00986EAF"/>
    <w:rsid w:val="009C38BD"/>
    <w:rsid w:val="009C6C77"/>
    <w:rsid w:val="009E302B"/>
    <w:rsid w:val="00A071A5"/>
    <w:rsid w:val="00A155A9"/>
    <w:rsid w:val="00A15FCA"/>
    <w:rsid w:val="00A2596C"/>
    <w:rsid w:val="00A346B7"/>
    <w:rsid w:val="00A83923"/>
    <w:rsid w:val="00A93DA7"/>
    <w:rsid w:val="00AA3B30"/>
    <w:rsid w:val="00AA7874"/>
    <w:rsid w:val="00AB232D"/>
    <w:rsid w:val="00AC37BC"/>
    <w:rsid w:val="00AC76DA"/>
    <w:rsid w:val="00AE5086"/>
    <w:rsid w:val="00AE524A"/>
    <w:rsid w:val="00AF1F03"/>
    <w:rsid w:val="00B14BE5"/>
    <w:rsid w:val="00B266F3"/>
    <w:rsid w:val="00B32A60"/>
    <w:rsid w:val="00B52F01"/>
    <w:rsid w:val="00B54D27"/>
    <w:rsid w:val="00B57F14"/>
    <w:rsid w:val="00B740F0"/>
    <w:rsid w:val="00B7615A"/>
    <w:rsid w:val="00BB355E"/>
    <w:rsid w:val="00C554EF"/>
    <w:rsid w:val="00C65120"/>
    <w:rsid w:val="00C71DC8"/>
    <w:rsid w:val="00C80125"/>
    <w:rsid w:val="00CB2708"/>
    <w:rsid w:val="00CB63B4"/>
    <w:rsid w:val="00CC01B1"/>
    <w:rsid w:val="00CC05D3"/>
    <w:rsid w:val="00CC1AAE"/>
    <w:rsid w:val="00D07C5F"/>
    <w:rsid w:val="00D1617A"/>
    <w:rsid w:val="00D418C0"/>
    <w:rsid w:val="00D435CE"/>
    <w:rsid w:val="00D44D85"/>
    <w:rsid w:val="00D5578A"/>
    <w:rsid w:val="00D61A8B"/>
    <w:rsid w:val="00D70D21"/>
    <w:rsid w:val="00D74545"/>
    <w:rsid w:val="00D74569"/>
    <w:rsid w:val="00D778E7"/>
    <w:rsid w:val="00D96545"/>
    <w:rsid w:val="00DB495A"/>
    <w:rsid w:val="00DB6069"/>
    <w:rsid w:val="00DC2A38"/>
    <w:rsid w:val="00DC407A"/>
    <w:rsid w:val="00DF5C55"/>
    <w:rsid w:val="00E03DC0"/>
    <w:rsid w:val="00E33F38"/>
    <w:rsid w:val="00E41D6A"/>
    <w:rsid w:val="00E47334"/>
    <w:rsid w:val="00E71413"/>
    <w:rsid w:val="00E76BAF"/>
    <w:rsid w:val="00E80CE9"/>
    <w:rsid w:val="00E9012C"/>
    <w:rsid w:val="00E94044"/>
    <w:rsid w:val="00EA377A"/>
    <w:rsid w:val="00EA39F9"/>
    <w:rsid w:val="00ED34DD"/>
    <w:rsid w:val="00F14F54"/>
    <w:rsid w:val="00F24B26"/>
    <w:rsid w:val="00F302CD"/>
    <w:rsid w:val="00F32C4E"/>
    <w:rsid w:val="00F359B6"/>
    <w:rsid w:val="00F62A83"/>
    <w:rsid w:val="00F65141"/>
    <w:rsid w:val="00F70D22"/>
    <w:rsid w:val="00F74A81"/>
    <w:rsid w:val="00F75E4C"/>
    <w:rsid w:val="00F93187"/>
    <w:rsid w:val="00FC61D6"/>
    <w:rsid w:val="00FD567C"/>
    <w:rsid w:val="00FD5BFF"/>
    <w:rsid w:val="00FE07F7"/>
    <w:rsid w:val="00FE10B1"/>
    <w:rsid w:val="00FE1CD8"/>
    <w:rsid w:val="00FE2CAD"/>
    <w:rsid w:val="00FF65A4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03DD"/>
  <w15:chartTrackingRefBased/>
  <w15:docId w15:val="{ED52836F-D5BB-4EC9-AD8F-1E3DBC2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E8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01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4010E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rsid w:val="004010E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4010E8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4010E8"/>
  </w:style>
  <w:style w:type="paragraph" w:customStyle="1" w:styleId="rvps2">
    <w:name w:val="rvps2"/>
    <w:basedOn w:val="a"/>
    <w:rsid w:val="00E47334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E4733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08B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308B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9C38BD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075709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CB63B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B63B4"/>
    <w:rPr>
      <w:rFonts w:eastAsia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CB63B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8030</Words>
  <Characters>4578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7</cp:revision>
  <cp:lastPrinted>2025-01-16T08:52:00Z</cp:lastPrinted>
  <dcterms:created xsi:type="dcterms:W3CDTF">2025-01-15T09:37:00Z</dcterms:created>
  <dcterms:modified xsi:type="dcterms:W3CDTF">2025-01-16T08:52:00Z</dcterms:modified>
</cp:coreProperties>
</file>