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FE" w:rsidRDefault="002551FE" w:rsidP="002551FE">
      <w:pPr>
        <w:pStyle w:val="a3"/>
        <w:ind w:firstLine="0"/>
        <w:rPr>
          <w:bCs/>
          <w:color w:val="000000" w:themeColor="text1"/>
          <w:szCs w:val="28"/>
        </w:rPr>
      </w:pPr>
    </w:p>
    <w:p w:rsidR="002551FE" w:rsidRDefault="002551FE" w:rsidP="002551FE">
      <w:pPr>
        <w:pStyle w:val="a3"/>
        <w:ind w:firstLine="0"/>
        <w:rPr>
          <w:bCs/>
          <w:color w:val="000000" w:themeColor="text1"/>
          <w:szCs w:val="28"/>
        </w:rPr>
      </w:pPr>
    </w:p>
    <w:p w:rsidR="002551FE" w:rsidRDefault="002551FE" w:rsidP="002551FE">
      <w:pPr>
        <w:pStyle w:val="a3"/>
        <w:ind w:firstLine="0"/>
        <w:rPr>
          <w:bCs/>
          <w:color w:val="000000" w:themeColor="text1"/>
          <w:szCs w:val="28"/>
        </w:rPr>
      </w:pPr>
    </w:p>
    <w:p w:rsidR="002551FE" w:rsidRDefault="002551FE" w:rsidP="002551FE">
      <w:pPr>
        <w:pStyle w:val="a3"/>
        <w:ind w:firstLine="0"/>
        <w:rPr>
          <w:bCs/>
          <w:color w:val="000000" w:themeColor="text1"/>
          <w:szCs w:val="28"/>
        </w:rPr>
      </w:pPr>
    </w:p>
    <w:p w:rsidR="002551FE" w:rsidRDefault="002551FE" w:rsidP="002551FE">
      <w:pPr>
        <w:pStyle w:val="a3"/>
        <w:ind w:firstLine="0"/>
        <w:rPr>
          <w:bCs/>
          <w:color w:val="000000" w:themeColor="text1"/>
          <w:szCs w:val="28"/>
        </w:rPr>
      </w:pPr>
    </w:p>
    <w:p w:rsidR="002551FE" w:rsidRDefault="002551FE" w:rsidP="002551FE">
      <w:pPr>
        <w:pStyle w:val="a3"/>
        <w:ind w:firstLine="0"/>
        <w:rPr>
          <w:bCs/>
          <w:color w:val="000000" w:themeColor="text1"/>
          <w:szCs w:val="28"/>
        </w:rPr>
      </w:pPr>
    </w:p>
    <w:p w:rsidR="002551FE" w:rsidRDefault="002551FE" w:rsidP="002551FE">
      <w:pPr>
        <w:pStyle w:val="a3"/>
        <w:ind w:firstLine="0"/>
        <w:rPr>
          <w:bCs/>
          <w:color w:val="000000" w:themeColor="text1"/>
          <w:szCs w:val="28"/>
        </w:rPr>
      </w:pPr>
    </w:p>
    <w:p w:rsidR="00E016A8" w:rsidRPr="00DC2233" w:rsidRDefault="00E016A8" w:rsidP="002551FE">
      <w:pPr>
        <w:pStyle w:val="a3"/>
        <w:ind w:firstLine="0"/>
        <w:rPr>
          <w:color w:val="000000" w:themeColor="text1"/>
          <w:szCs w:val="28"/>
        </w:rPr>
      </w:pPr>
      <w:r w:rsidRPr="00DC2233">
        <w:rPr>
          <w:bCs/>
          <w:color w:val="000000" w:themeColor="text1"/>
          <w:szCs w:val="28"/>
        </w:rPr>
        <w:t xml:space="preserve">про відмову у відкритті конституційного провадження у справі за конституційною скаргою Ромашко Тетяни Миколаївни </w:t>
      </w:r>
      <w:r w:rsidRPr="00DC2233">
        <w:rPr>
          <w:color w:val="000000" w:themeColor="text1"/>
          <w:szCs w:val="28"/>
        </w:rPr>
        <w:t>щодо відповідності Конституції України (конституційності) абзацу першого пункту 2</w:t>
      </w:r>
      <w:r w:rsidRPr="00DC2233">
        <w:rPr>
          <w:color w:val="000000" w:themeColor="text1"/>
          <w:szCs w:val="28"/>
          <w:vertAlign w:val="superscript"/>
        </w:rPr>
        <w:t>1</w:t>
      </w:r>
      <w:r w:rsidR="00DC2233">
        <w:rPr>
          <w:color w:val="000000" w:themeColor="text1"/>
          <w:szCs w:val="28"/>
        </w:rPr>
        <w:t>,</w:t>
      </w:r>
      <w:r w:rsidR="00DC2233">
        <w:rPr>
          <w:color w:val="000000" w:themeColor="text1"/>
          <w:szCs w:val="28"/>
        </w:rPr>
        <w:br/>
      </w:r>
      <w:r w:rsidRPr="00DC2233">
        <w:rPr>
          <w:color w:val="000000" w:themeColor="text1"/>
          <w:szCs w:val="28"/>
        </w:rPr>
        <w:t>абзацу другого пункту 16 розділу Х</w:t>
      </w:r>
      <w:r w:rsidRPr="00DC2233">
        <w:rPr>
          <w:color w:val="000000" w:themeColor="text1"/>
          <w:szCs w:val="28"/>
          <w:lang w:val="en-US"/>
        </w:rPr>
        <w:t>V</w:t>
      </w:r>
      <w:r w:rsidR="00DC2233">
        <w:rPr>
          <w:color w:val="000000" w:themeColor="text1"/>
          <w:szCs w:val="28"/>
        </w:rPr>
        <w:t xml:space="preserve"> „Прикінцеві положення“</w:t>
      </w:r>
      <w:r w:rsidR="00DC2233">
        <w:rPr>
          <w:color w:val="000000" w:themeColor="text1"/>
          <w:szCs w:val="28"/>
        </w:rPr>
        <w:br/>
      </w:r>
      <w:r w:rsidRPr="00DC2233">
        <w:rPr>
          <w:color w:val="000000" w:themeColor="text1"/>
          <w:szCs w:val="28"/>
        </w:rPr>
        <w:t>Закону України „Про загальнообов’язкове державне пенсійне страхування“</w:t>
      </w:r>
      <w:r w:rsidR="00DC2233">
        <w:rPr>
          <w:color w:val="000000" w:themeColor="text1"/>
          <w:szCs w:val="28"/>
        </w:rPr>
        <w:br/>
      </w:r>
    </w:p>
    <w:p w:rsidR="00E016A8" w:rsidRPr="00DC2233" w:rsidRDefault="00E016A8" w:rsidP="002551FE">
      <w:pPr>
        <w:pStyle w:val="p1"/>
        <w:tabs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DC223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К и ї в</w:t>
      </w:r>
      <w:r w:rsidR="00DC223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ab/>
      </w:r>
      <w:r w:rsidRPr="00DC223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Справа </w:t>
      </w:r>
      <w:r w:rsidR="0072521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№ </w:t>
      </w:r>
      <w:r w:rsidRPr="00DC223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3-95/2022(224/22)</w:t>
      </w:r>
    </w:p>
    <w:p w:rsidR="00E016A8" w:rsidRPr="00DC2233" w:rsidRDefault="00037B26" w:rsidP="002551FE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21</w:t>
      </w:r>
      <w:r w:rsidR="00E016A8" w:rsidRPr="00DC223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грудня 2022 року</w:t>
      </w:r>
    </w:p>
    <w:p w:rsidR="00E016A8" w:rsidRPr="00DC2233" w:rsidRDefault="0072521C" w:rsidP="002551FE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№ </w:t>
      </w:r>
      <w:bookmarkStart w:id="0" w:name="_GoBack"/>
      <w:r w:rsidR="00037B2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183</w:t>
      </w:r>
      <w:r w:rsidR="00E016A8" w:rsidRPr="00DC223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-1(І)</w:t>
      </w:r>
      <w:bookmarkEnd w:id="0"/>
      <w:r w:rsidR="00E016A8" w:rsidRPr="00DC223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/2022</w:t>
      </w:r>
    </w:p>
    <w:p w:rsidR="00E016A8" w:rsidRPr="00DC2233" w:rsidRDefault="00E016A8" w:rsidP="002551FE">
      <w:pPr>
        <w:jc w:val="both"/>
        <w:rPr>
          <w:color w:val="000000" w:themeColor="text1"/>
          <w:sz w:val="28"/>
          <w:szCs w:val="28"/>
        </w:rPr>
      </w:pPr>
    </w:p>
    <w:p w:rsidR="00E016A8" w:rsidRPr="00DC2233" w:rsidRDefault="00E016A8" w:rsidP="002551F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E016A8" w:rsidRPr="00DC2233" w:rsidRDefault="00E016A8" w:rsidP="002551F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016A8" w:rsidRPr="00DC2233" w:rsidRDefault="00E016A8" w:rsidP="002551F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t>Колісник Віктор Павлович (голова засідання),</w:t>
      </w:r>
    </w:p>
    <w:p w:rsidR="00E016A8" w:rsidRPr="00DC2233" w:rsidRDefault="00E016A8" w:rsidP="002551F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t>Кичун Віктор Іванович,</w:t>
      </w:r>
    </w:p>
    <w:p w:rsidR="00E016A8" w:rsidRPr="00DC2233" w:rsidRDefault="00E016A8" w:rsidP="002551FE">
      <w:pPr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t>Філюк Петро Тодосьович (доповідач),</w:t>
      </w:r>
    </w:p>
    <w:p w:rsidR="00E016A8" w:rsidRPr="00DC2233" w:rsidRDefault="00E016A8" w:rsidP="002551FE">
      <w:pPr>
        <w:ind w:firstLine="567"/>
        <w:jc w:val="both"/>
        <w:rPr>
          <w:color w:val="000000" w:themeColor="text1"/>
          <w:sz w:val="28"/>
          <w:szCs w:val="28"/>
        </w:rPr>
      </w:pPr>
    </w:p>
    <w:p w:rsidR="00E016A8" w:rsidRPr="00DC2233" w:rsidRDefault="00E016A8" w:rsidP="002551FE">
      <w:pPr>
        <w:pStyle w:val="20"/>
        <w:widowControl/>
        <w:spacing w:after="0" w:line="360" w:lineRule="auto"/>
        <w:ind w:firstLine="567"/>
        <w:jc w:val="both"/>
        <w:rPr>
          <w:color w:val="000000" w:themeColor="text1"/>
        </w:rPr>
      </w:pPr>
      <w:r w:rsidRPr="00DC2233">
        <w:rPr>
          <w:color w:val="000000" w:themeColor="text1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DC2233">
        <w:rPr>
          <w:bCs/>
          <w:color w:val="000000" w:themeColor="text1"/>
        </w:rPr>
        <w:t xml:space="preserve">Ромашко Тетяни Миколаївни </w:t>
      </w:r>
      <w:r w:rsidRPr="00DC2233">
        <w:rPr>
          <w:color w:val="000000" w:themeColor="text1"/>
        </w:rPr>
        <w:t>щодо відповідності Конституції України (конституційності) абзацу першого пункту 2</w:t>
      </w:r>
      <w:r w:rsidRPr="00DC2233">
        <w:rPr>
          <w:color w:val="000000" w:themeColor="text1"/>
          <w:vertAlign w:val="superscript"/>
        </w:rPr>
        <w:t>1</w:t>
      </w:r>
      <w:r w:rsidRPr="00DC2233">
        <w:rPr>
          <w:color w:val="000000" w:themeColor="text1"/>
        </w:rPr>
        <w:t>, абзацу другого пункту 16 розділу Х</w:t>
      </w:r>
      <w:r w:rsidRPr="00DC2233">
        <w:rPr>
          <w:color w:val="000000" w:themeColor="text1"/>
          <w:lang w:val="en-US"/>
        </w:rPr>
        <w:t>V</w:t>
      </w:r>
      <w:r w:rsidRPr="00DC2233">
        <w:rPr>
          <w:color w:val="000000" w:themeColor="text1"/>
        </w:rPr>
        <w:t xml:space="preserve"> „Прикінцеві положення“ Закону України „Про загальнообов’язкове державне пенсійне страхування“</w:t>
      </w:r>
      <w:r w:rsidR="00B8415A">
        <w:rPr>
          <w:color w:val="000000" w:themeColor="text1"/>
        </w:rPr>
        <w:t xml:space="preserve"> від </w:t>
      </w:r>
      <w:r w:rsidR="00B8415A" w:rsidRPr="00DC2233">
        <w:rPr>
          <w:color w:val="000000" w:themeColor="text1"/>
        </w:rPr>
        <w:t>9 липня</w:t>
      </w:r>
      <w:r w:rsidR="00B8415A">
        <w:rPr>
          <w:color w:val="000000" w:themeColor="text1"/>
        </w:rPr>
        <w:t xml:space="preserve"> </w:t>
      </w:r>
      <w:r w:rsidR="00B8415A" w:rsidRPr="00DC2233">
        <w:rPr>
          <w:color w:val="000000" w:themeColor="text1"/>
        </w:rPr>
        <w:t xml:space="preserve">2003 року </w:t>
      </w:r>
      <w:r w:rsidR="0072521C">
        <w:rPr>
          <w:color w:val="000000" w:themeColor="text1"/>
        </w:rPr>
        <w:t xml:space="preserve">№ </w:t>
      </w:r>
      <w:r w:rsidR="00B8415A" w:rsidRPr="00DC2233">
        <w:rPr>
          <w:color w:val="000000" w:themeColor="text1"/>
        </w:rPr>
        <w:t>1058–І</w:t>
      </w:r>
      <w:r w:rsidR="00B8415A" w:rsidRPr="00DC2233">
        <w:rPr>
          <w:color w:val="000000" w:themeColor="text1"/>
          <w:lang w:val="en-US"/>
        </w:rPr>
        <w:t>V</w:t>
      </w:r>
      <w:r w:rsidR="002E0276">
        <w:rPr>
          <w:color w:val="000000" w:themeColor="text1"/>
        </w:rPr>
        <w:t xml:space="preserve"> (Відомості Верховної Ради України, 2003 р., </w:t>
      </w:r>
      <w:r w:rsidR="0072521C">
        <w:rPr>
          <w:color w:val="000000" w:themeColor="text1"/>
        </w:rPr>
        <w:t xml:space="preserve">№ </w:t>
      </w:r>
      <w:r w:rsidR="002E0276">
        <w:rPr>
          <w:color w:val="000000" w:themeColor="text1"/>
        </w:rPr>
        <w:t>49–51,</w:t>
      </w:r>
      <w:r w:rsidR="00B8415A">
        <w:rPr>
          <w:color w:val="000000" w:themeColor="text1"/>
        </w:rPr>
        <w:br/>
      </w:r>
      <w:r w:rsidR="002E0276">
        <w:rPr>
          <w:color w:val="000000" w:themeColor="text1"/>
        </w:rPr>
        <w:t>ст. 376) зі змінами</w:t>
      </w:r>
      <w:r w:rsidRPr="00DC2233">
        <w:rPr>
          <w:color w:val="000000" w:themeColor="text1"/>
        </w:rPr>
        <w:t>.</w:t>
      </w:r>
    </w:p>
    <w:p w:rsidR="00E016A8" w:rsidRPr="00DC2233" w:rsidRDefault="00E016A8" w:rsidP="00B8415A">
      <w:pPr>
        <w:pStyle w:val="20"/>
        <w:widowControl/>
        <w:spacing w:after="0" w:line="240" w:lineRule="auto"/>
        <w:ind w:firstLine="567"/>
        <w:jc w:val="both"/>
        <w:rPr>
          <w:color w:val="000000" w:themeColor="text1"/>
        </w:rPr>
      </w:pPr>
    </w:p>
    <w:p w:rsidR="00E016A8" w:rsidRPr="00DC2233" w:rsidRDefault="00E016A8" w:rsidP="002551FE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E016A8" w:rsidRPr="00DC2233" w:rsidRDefault="00E016A8" w:rsidP="00B8415A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016A8" w:rsidRPr="00DC2233" w:rsidRDefault="00E016A8" w:rsidP="002551F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C2233">
        <w:rPr>
          <w:b/>
          <w:color w:val="000000" w:themeColor="text1"/>
          <w:sz w:val="28"/>
          <w:szCs w:val="28"/>
        </w:rPr>
        <w:t>у с т а н о в и л а:</w:t>
      </w:r>
    </w:p>
    <w:p w:rsidR="00E016A8" w:rsidRPr="00DC2233" w:rsidRDefault="00E016A8" w:rsidP="00B8415A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016A8" w:rsidRPr="00DC2233" w:rsidRDefault="00E016A8" w:rsidP="002551FE">
      <w:pPr>
        <w:pStyle w:val="20"/>
        <w:widowControl/>
        <w:spacing w:after="0" w:line="360" w:lineRule="auto"/>
        <w:ind w:firstLine="567"/>
        <w:jc w:val="both"/>
        <w:rPr>
          <w:color w:val="000000" w:themeColor="text1"/>
        </w:rPr>
      </w:pPr>
      <w:r w:rsidRPr="00DC2233">
        <w:rPr>
          <w:color w:val="000000" w:themeColor="text1"/>
        </w:rPr>
        <w:t>1.</w:t>
      </w:r>
      <w:bookmarkStart w:id="1" w:name="_Hlk40441461"/>
      <w:r w:rsidRPr="00DC2233">
        <w:rPr>
          <w:color w:val="000000" w:themeColor="text1"/>
        </w:rPr>
        <w:t xml:space="preserve"> Ромашко Т.М. звернулася до Конституційного Суду України з клопотанням перевірити на відповідність частині третій статті 22,</w:t>
      </w:r>
      <w:r w:rsidR="00DC2233">
        <w:rPr>
          <w:color w:val="000000" w:themeColor="text1"/>
        </w:rPr>
        <w:t xml:space="preserve"> </w:t>
      </w:r>
      <w:r w:rsidRPr="00DC2233">
        <w:rPr>
          <w:color w:val="000000" w:themeColor="text1"/>
        </w:rPr>
        <w:t xml:space="preserve">частині першій </w:t>
      </w:r>
      <w:r w:rsidRPr="00DC2233">
        <w:rPr>
          <w:color w:val="000000" w:themeColor="text1"/>
        </w:rPr>
        <w:lastRenderedPageBreak/>
        <w:t xml:space="preserve">статті 24, частині першій статті </w:t>
      </w:r>
      <w:r w:rsidR="001E4FA1" w:rsidRPr="00DC2233">
        <w:rPr>
          <w:color w:val="000000" w:themeColor="text1"/>
        </w:rPr>
        <w:t>46</w:t>
      </w:r>
      <w:r w:rsidRPr="00DC2233">
        <w:rPr>
          <w:color w:val="000000" w:themeColor="text1"/>
        </w:rPr>
        <w:t xml:space="preserve"> Констит</w:t>
      </w:r>
      <w:r w:rsidR="002E0276">
        <w:rPr>
          <w:color w:val="000000" w:themeColor="text1"/>
        </w:rPr>
        <w:t>уції України (конституційність)</w:t>
      </w:r>
      <w:r w:rsidR="002E0276">
        <w:rPr>
          <w:color w:val="000000" w:themeColor="text1"/>
        </w:rPr>
        <w:br/>
        <w:t>абзац</w:t>
      </w:r>
      <w:r w:rsidR="001E4FA1" w:rsidRPr="00DC2233">
        <w:rPr>
          <w:color w:val="000000" w:themeColor="text1"/>
        </w:rPr>
        <w:t xml:space="preserve"> перш</w:t>
      </w:r>
      <w:r w:rsidR="002E0276">
        <w:rPr>
          <w:color w:val="000000" w:themeColor="text1"/>
        </w:rPr>
        <w:t>ий</w:t>
      </w:r>
      <w:r w:rsidR="001E4FA1" w:rsidRPr="00DC2233">
        <w:rPr>
          <w:color w:val="000000" w:themeColor="text1"/>
        </w:rPr>
        <w:t xml:space="preserve"> пункту 2</w:t>
      </w:r>
      <w:r w:rsidR="001E4FA1" w:rsidRPr="00DC2233">
        <w:rPr>
          <w:color w:val="000000" w:themeColor="text1"/>
          <w:vertAlign w:val="superscript"/>
        </w:rPr>
        <w:t>1</w:t>
      </w:r>
      <w:r w:rsidR="001E4FA1" w:rsidRPr="00DC2233">
        <w:rPr>
          <w:color w:val="000000" w:themeColor="text1"/>
        </w:rPr>
        <w:t xml:space="preserve">, </w:t>
      </w:r>
      <w:r w:rsidR="002E0276">
        <w:rPr>
          <w:color w:val="000000" w:themeColor="text1"/>
        </w:rPr>
        <w:t>абзац другий</w:t>
      </w:r>
      <w:r w:rsidR="001E4FA1" w:rsidRPr="00DC2233">
        <w:rPr>
          <w:color w:val="000000" w:themeColor="text1"/>
        </w:rPr>
        <w:t xml:space="preserve"> пункту 16 розділу Х</w:t>
      </w:r>
      <w:r w:rsidR="001E4FA1" w:rsidRPr="00DC2233">
        <w:rPr>
          <w:color w:val="000000" w:themeColor="text1"/>
          <w:lang w:val="en-US"/>
        </w:rPr>
        <w:t>V</w:t>
      </w:r>
      <w:r w:rsidR="001E4FA1" w:rsidRPr="00DC2233">
        <w:rPr>
          <w:color w:val="000000" w:themeColor="text1"/>
        </w:rPr>
        <w:t xml:space="preserve"> „Прикінцеві положення“ Закону України</w:t>
      </w:r>
      <w:r w:rsidR="00DC2233">
        <w:rPr>
          <w:color w:val="000000" w:themeColor="text1"/>
        </w:rPr>
        <w:t xml:space="preserve"> </w:t>
      </w:r>
      <w:r w:rsidR="001E4FA1" w:rsidRPr="00DC2233">
        <w:rPr>
          <w:color w:val="000000" w:themeColor="text1"/>
        </w:rPr>
        <w:t>„Про загальнообов’язкове держ</w:t>
      </w:r>
      <w:r w:rsidR="002E0276">
        <w:rPr>
          <w:color w:val="000000" w:themeColor="text1"/>
        </w:rPr>
        <w:t>авне пенсійне страхування“</w:t>
      </w:r>
      <w:r w:rsidR="00C75941">
        <w:rPr>
          <w:color w:val="000000" w:themeColor="text1"/>
        </w:rPr>
        <w:t xml:space="preserve"> </w:t>
      </w:r>
      <w:r w:rsidR="002E0276">
        <w:rPr>
          <w:color w:val="000000" w:themeColor="text1"/>
        </w:rPr>
        <w:t xml:space="preserve">від </w:t>
      </w:r>
      <w:r w:rsidR="001E4FA1" w:rsidRPr="00DC2233">
        <w:rPr>
          <w:color w:val="000000" w:themeColor="text1"/>
        </w:rPr>
        <w:t>9 лип</w:t>
      </w:r>
      <w:r w:rsidR="00CB1E84" w:rsidRPr="00DC2233">
        <w:rPr>
          <w:color w:val="000000" w:themeColor="text1"/>
        </w:rPr>
        <w:t>ня</w:t>
      </w:r>
      <w:r w:rsidR="00DC2233">
        <w:rPr>
          <w:color w:val="000000" w:themeColor="text1"/>
        </w:rPr>
        <w:t xml:space="preserve"> </w:t>
      </w:r>
      <w:r w:rsidR="001E4FA1" w:rsidRPr="00DC2233">
        <w:rPr>
          <w:color w:val="000000" w:themeColor="text1"/>
        </w:rPr>
        <w:t xml:space="preserve">2003 року </w:t>
      </w:r>
      <w:r w:rsidR="0072521C">
        <w:rPr>
          <w:color w:val="000000" w:themeColor="text1"/>
        </w:rPr>
        <w:t xml:space="preserve">№ </w:t>
      </w:r>
      <w:r w:rsidR="001E4FA1" w:rsidRPr="00DC2233">
        <w:rPr>
          <w:color w:val="000000" w:themeColor="text1"/>
        </w:rPr>
        <w:t>1058–І</w:t>
      </w:r>
      <w:r w:rsidR="001E4FA1" w:rsidRPr="00DC2233">
        <w:rPr>
          <w:color w:val="000000" w:themeColor="text1"/>
          <w:lang w:val="en-US"/>
        </w:rPr>
        <w:t>V</w:t>
      </w:r>
      <w:r w:rsidR="001E4FA1" w:rsidRPr="00DC2233">
        <w:rPr>
          <w:color w:val="000000" w:themeColor="text1"/>
        </w:rPr>
        <w:t xml:space="preserve"> </w:t>
      </w:r>
      <w:r w:rsidR="002E0276">
        <w:rPr>
          <w:color w:val="000000" w:themeColor="text1"/>
        </w:rPr>
        <w:t xml:space="preserve">зі змінами </w:t>
      </w:r>
      <w:r w:rsidR="001E4FA1" w:rsidRPr="00DC2233">
        <w:rPr>
          <w:color w:val="000000" w:themeColor="text1"/>
        </w:rPr>
        <w:t>(далі – Закон).</w:t>
      </w:r>
    </w:p>
    <w:p w:rsidR="00DC2233" w:rsidRDefault="00E016A8" w:rsidP="00C75941">
      <w:pPr>
        <w:pStyle w:val="20"/>
        <w:widowControl/>
        <w:spacing w:after="0" w:line="348" w:lineRule="auto"/>
        <w:ind w:firstLine="567"/>
        <w:jc w:val="both"/>
        <w:rPr>
          <w:color w:val="000000" w:themeColor="text1"/>
        </w:rPr>
      </w:pPr>
      <w:r w:rsidRPr="00DC2233">
        <w:rPr>
          <w:color w:val="000000" w:themeColor="text1"/>
        </w:rPr>
        <w:t>Відповідно до оспорюван</w:t>
      </w:r>
      <w:r w:rsidR="001E4FA1" w:rsidRPr="00DC2233">
        <w:rPr>
          <w:color w:val="000000" w:themeColor="text1"/>
        </w:rPr>
        <w:t>их</w:t>
      </w:r>
      <w:r w:rsidRPr="00DC2233">
        <w:rPr>
          <w:color w:val="000000" w:themeColor="text1"/>
        </w:rPr>
        <w:t xml:space="preserve"> положен</w:t>
      </w:r>
      <w:r w:rsidR="001E4FA1" w:rsidRPr="00DC2233">
        <w:rPr>
          <w:color w:val="000000" w:themeColor="text1"/>
        </w:rPr>
        <w:t>ь</w:t>
      </w:r>
      <w:r w:rsidR="00C75941">
        <w:rPr>
          <w:color w:val="000000" w:themeColor="text1"/>
        </w:rPr>
        <w:t xml:space="preserve"> розділу Х</w:t>
      </w:r>
      <w:r w:rsidR="00C75941">
        <w:rPr>
          <w:color w:val="000000" w:themeColor="text1"/>
          <w:lang w:val="en-US"/>
        </w:rPr>
        <w:t>V</w:t>
      </w:r>
      <w:r w:rsidR="00C75941">
        <w:rPr>
          <w:color w:val="000000" w:themeColor="text1"/>
        </w:rPr>
        <w:t xml:space="preserve"> „Прикінцеві положення“</w:t>
      </w:r>
      <w:r w:rsidRPr="00DC2233">
        <w:rPr>
          <w:color w:val="000000" w:themeColor="text1"/>
        </w:rPr>
        <w:t xml:space="preserve"> </w:t>
      </w:r>
      <w:r w:rsidR="001E4FA1" w:rsidRPr="00DC2233">
        <w:rPr>
          <w:color w:val="000000" w:themeColor="text1"/>
        </w:rPr>
        <w:t>Закону:</w:t>
      </w:r>
    </w:p>
    <w:p w:rsidR="00DC2233" w:rsidRDefault="00DC2233" w:rsidP="00C75941">
      <w:pPr>
        <w:pStyle w:val="20"/>
        <w:widowControl/>
        <w:spacing w:after="0" w:line="348" w:lineRule="auto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– </w:t>
      </w:r>
      <w:r w:rsidR="001E4FA1" w:rsidRPr="00DC2233">
        <w:rPr>
          <w:color w:val="000000" w:themeColor="text1"/>
        </w:rPr>
        <w:t>«О</w:t>
      </w:r>
      <w:r w:rsidR="001E4FA1" w:rsidRPr="00DC2233">
        <w:rPr>
          <w:color w:val="000000" w:themeColor="text1"/>
          <w:shd w:val="clear" w:color="auto" w:fill="FFFFFF"/>
        </w:rPr>
        <w:t xml:space="preserve">собам, які на день набрання чинності </w:t>
      </w:r>
      <w:r w:rsidR="001E4FA1" w:rsidRPr="00DC2233">
        <w:rPr>
          <w:rStyle w:val="rvts96"/>
          <w:color w:val="000000" w:themeColor="text1"/>
          <w:shd w:val="clear" w:color="auto" w:fill="FFFFFF"/>
        </w:rPr>
        <w:t>Законом України</w:t>
      </w:r>
      <w:r w:rsidR="001E4FA1" w:rsidRPr="00DC2233">
        <w:rPr>
          <w:color w:val="000000" w:themeColor="text1"/>
          <w:shd w:val="clear" w:color="auto" w:fill="FFFFFF"/>
        </w:rPr>
        <w:t xml:space="preserve"> „Про внесення змін до деяких законодавчих актів України щодо підвищення пенсій“ мають вислугу років та стаж, необхідний для призначення пенсії за вислугу років, передбачений статтями 52, 54 та 55 </w:t>
      </w:r>
      <w:r w:rsidR="001E4FA1" w:rsidRPr="00DC2233">
        <w:rPr>
          <w:rStyle w:val="rvts96"/>
          <w:color w:val="000000" w:themeColor="text1"/>
          <w:shd w:val="clear" w:color="auto" w:fill="FFFFFF"/>
        </w:rPr>
        <w:t>Закону України</w:t>
      </w:r>
      <w:r w:rsidR="001E4FA1" w:rsidRPr="00DC2233">
        <w:rPr>
          <w:color w:val="000000" w:themeColor="text1"/>
          <w:shd w:val="clear" w:color="auto" w:fill="FFFFFF"/>
        </w:rPr>
        <w:t xml:space="preserve"> „Про пенсійне забезпечення“, пенсія за вислугу років призначається за їхнім зверненням з дотриманням умов, передбачених Законом України „Про пенсійне забезпечення“»</w:t>
      </w:r>
      <w:r w:rsidR="002E0276">
        <w:rPr>
          <w:color w:val="000000" w:themeColor="text1"/>
          <w:shd w:val="clear" w:color="auto" w:fill="FFFFFF"/>
        </w:rPr>
        <w:t xml:space="preserve"> (абзац перший пункту 2</w:t>
      </w:r>
      <w:r w:rsidR="002E0276">
        <w:rPr>
          <w:color w:val="000000" w:themeColor="text1"/>
          <w:shd w:val="clear" w:color="auto" w:fill="FFFFFF"/>
          <w:vertAlign w:val="superscript"/>
        </w:rPr>
        <w:t>1</w:t>
      </w:r>
      <w:r w:rsidR="002E0276">
        <w:rPr>
          <w:color w:val="000000" w:themeColor="text1"/>
          <w:shd w:val="clear" w:color="auto" w:fill="FFFFFF"/>
        </w:rPr>
        <w:t>)</w:t>
      </w:r>
      <w:r w:rsidR="00C75941">
        <w:rPr>
          <w:color w:val="000000" w:themeColor="text1"/>
          <w:shd w:val="clear" w:color="auto" w:fill="FFFFFF"/>
        </w:rPr>
        <w:t>;</w:t>
      </w:r>
    </w:p>
    <w:p w:rsidR="00E016A8" w:rsidRPr="00DC2233" w:rsidRDefault="00DC2233" w:rsidP="00C75941">
      <w:pPr>
        <w:pStyle w:val="20"/>
        <w:widowControl/>
        <w:spacing w:after="0" w:line="348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– </w:t>
      </w:r>
      <w:r w:rsidR="001E4FA1" w:rsidRPr="00DC2233">
        <w:rPr>
          <w:color w:val="000000" w:themeColor="text1"/>
          <w:shd w:val="clear" w:color="auto" w:fill="FFFFFF"/>
        </w:rPr>
        <w:t>«</w:t>
      </w:r>
      <w:r w:rsidR="00C75941">
        <w:rPr>
          <w:color w:val="000000" w:themeColor="text1"/>
          <w:shd w:val="clear" w:color="auto" w:fill="FFFFFF"/>
        </w:rPr>
        <w:t>п</w:t>
      </w:r>
      <w:r w:rsidR="001E4FA1" w:rsidRPr="00DC2233">
        <w:rPr>
          <w:color w:val="000000" w:themeColor="text1"/>
          <w:shd w:val="clear" w:color="auto" w:fill="FFFFFF"/>
        </w:rPr>
        <w:t xml:space="preserve">оложення </w:t>
      </w:r>
      <w:r w:rsidR="001E4FA1" w:rsidRPr="00DC2233">
        <w:rPr>
          <w:rStyle w:val="rvts96"/>
          <w:color w:val="000000" w:themeColor="text1"/>
          <w:shd w:val="clear" w:color="auto" w:fill="FFFFFF"/>
        </w:rPr>
        <w:t>Закону України</w:t>
      </w:r>
      <w:r w:rsidR="001E4FA1" w:rsidRPr="00DC2233">
        <w:rPr>
          <w:color w:val="000000" w:themeColor="text1"/>
          <w:shd w:val="clear" w:color="auto" w:fill="FFFFFF"/>
        </w:rPr>
        <w:t xml:space="preserve"> „Про пенсійне забезпечення“ застосовуються в частині визначення права на пенсію за вислугу років для осіб, які на день набрання чинності </w:t>
      </w:r>
      <w:r w:rsidR="001E4FA1" w:rsidRPr="00DC2233">
        <w:rPr>
          <w:rStyle w:val="rvts96"/>
          <w:color w:val="000000" w:themeColor="text1"/>
          <w:shd w:val="clear" w:color="auto" w:fill="FFFFFF"/>
        </w:rPr>
        <w:t>Законом України</w:t>
      </w:r>
      <w:r w:rsidR="001E4FA1" w:rsidRPr="00DC2233">
        <w:rPr>
          <w:color w:val="000000" w:themeColor="text1"/>
          <w:shd w:val="clear" w:color="auto" w:fill="FFFFFF"/>
        </w:rPr>
        <w:t xml:space="preserve"> „Про внесення змін до деяких законодавчих актів України щодо підвищення пенсій“ мають вислугу років та стаж, необхідні для призначення такої пенсії»</w:t>
      </w:r>
      <w:r w:rsidR="002E0276">
        <w:rPr>
          <w:color w:val="000000" w:themeColor="text1"/>
          <w:shd w:val="clear" w:color="auto" w:fill="FFFFFF"/>
        </w:rPr>
        <w:t xml:space="preserve"> (абзац другий пункту 16)</w:t>
      </w:r>
      <w:r w:rsidR="00E016A8" w:rsidRPr="00DC2233">
        <w:rPr>
          <w:color w:val="000000" w:themeColor="text1"/>
        </w:rPr>
        <w:t>.</w:t>
      </w:r>
    </w:p>
    <w:bookmarkEnd w:id="1"/>
    <w:p w:rsidR="00E016A8" w:rsidRPr="00DC2233" w:rsidRDefault="00B760D6" w:rsidP="00C75941">
      <w:pPr>
        <w:spacing w:line="348" w:lineRule="auto"/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t>З</w:t>
      </w:r>
      <w:r w:rsidR="002E0276">
        <w:rPr>
          <w:color w:val="000000" w:themeColor="text1"/>
          <w:sz w:val="28"/>
          <w:szCs w:val="28"/>
        </w:rPr>
        <w:t>і змісту</w:t>
      </w:r>
      <w:r w:rsidRPr="00DC2233">
        <w:rPr>
          <w:color w:val="000000" w:themeColor="text1"/>
          <w:sz w:val="28"/>
          <w:szCs w:val="28"/>
        </w:rPr>
        <w:t xml:space="preserve"> конституційної скарги та долучених до неї матеріалів </w:t>
      </w:r>
      <w:r w:rsidR="002E0276">
        <w:rPr>
          <w:color w:val="000000" w:themeColor="text1"/>
          <w:sz w:val="28"/>
          <w:szCs w:val="28"/>
        </w:rPr>
        <w:t>у</w:t>
      </w:r>
      <w:r w:rsidRPr="00DC2233">
        <w:rPr>
          <w:color w:val="000000" w:themeColor="text1"/>
          <w:sz w:val="28"/>
          <w:szCs w:val="28"/>
        </w:rPr>
        <w:t xml:space="preserve">бачається, що </w:t>
      </w:r>
      <w:r w:rsidR="003B3440" w:rsidRPr="00DC2233">
        <w:rPr>
          <w:color w:val="000000" w:themeColor="text1"/>
          <w:sz w:val="28"/>
          <w:szCs w:val="28"/>
        </w:rPr>
        <w:t xml:space="preserve">Верховний Суд у складі колегії суддів Касаційного адміністративного суду постановою від 27 липня 2022 року залишив касаційну скаргу Ромашко Т.М. без задоволення, рішення Полтавського окружного адміністративного </w:t>
      </w:r>
      <w:r w:rsidR="00DC2233">
        <w:rPr>
          <w:color w:val="000000" w:themeColor="text1"/>
          <w:sz w:val="28"/>
          <w:szCs w:val="28"/>
        </w:rPr>
        <w:t>суду</w:t>
      </w:r>
      <w:r w:rsidR="002551FE">
        <w:rPr>
          <w:color w:val="000000" w:themeColor="text1"/>
          <w:sz w:val="28"/>
          <w:szCs w:val="28"/>
        </w:rPr>
        <w:br/>
      </w:r>
      <w:r w:rsidR="003B3440" w:rsidRPr="00DC2233">
        <w:rPr>
          <w:color w:val="000000" w:themeColor="text1"/>
          <w:sz w:val="28"/>
          <w:szCs w:val="28"/>
        </w:rPr>
        <w:t>від 14 квітня 2020 року та постанову Другого апеляційного адміністративного суду від 17 вересня 2020 року – без змін</w:t>
      </w:r>
      <w:r w:rsidR="003D6D1B" w:rsidRPr="00DC2233">
        <w:rPr>
          <w:color w:val="000000" w:themeColor="text1"/>
          <w:sz w:val="28"/>
          <w:szCs w:val="28"/>
        </w:rPr>
        <w:t>. Верховний Суд</w:t>
      </w:r>
      <w:r w:rsidR="00C75941">
        <w:rPr>
          <w:color w:val="000000" w:themeColor="text1"/>
          <w:sz w:val="28"/>
          <w:szCs w:val="28"/>
        </w:rPr>
        <w:t>,</w:t>
      </w:r>
      <w:r w:rsidR="003D6D1B" w:rsidRPr="00DC2233">
        <w:rPr>
          <w:color w:val="000000" w:themeColor="text1"/>
          <w:sz w:val="28"/>
          <w:szCs w:val="28"/>
        </w:rPr>
        <w:t xml:space="preserve"> застосувавши </w:t>
      </w:r>
      <w:r w:rsidR="002E0276">
        <w:rPr>
          <w:color w:val="000000" w:themeColor="text1"/>
          <w:sz w:val="28"/>
          <w:szCs w:val="28"/>
        </w:rPr>
        <w:t>у</w:t>
      </w:r>
      <w:r w:rsidR="002E0276" w:rsidRPr="00DC2233">
        <w:rPr>
          <w:color w:val="000000" w:themeColor="text1"/>
          <w:sz w:val="28"/>
          <w:szCs w:val="28"/>
        </w:rPr>
        <w:t xml:space="preserve"> своєму рішенні </w:t>
      </w:r>
      <w:r w:rsidR="003D6D1B" w:rsidRPr="00DC2233">
        <w:rPr>
          <w:color w:val="000000" w:themeColor="text1"/>
          <w:sz w:val="28"/>
          <w:szCs w:val="28"/>
        </w:rPr>
        <w:t xml:space="preserve">оспорювані положення Закону, погодився з висновками судів попередніх інстанцій щодо відсутності у </w:t>
      </w:r>
      <w:r w:rsidR="002E0276">
        <w:rPr>
          <w:color w:val="000000" w:themeColor="text1"/>
          <w:sz w:val="28"/>
          <w:szCs w:val="28"/>
        </w:rPr>
        <w:t xml:space="preserve">Ромашко Т.М. </w:t>
      </w:r>
      <w:r w:rsidR="003D6D1B" w:rsidRPr="00DC2233">
        <w:rPr>
          <w:color w:val="000000" w:themeColor="text1"/>
          <w:sz w:val="28"/>
          <w:szCs w:val="28"/>
        </w:rPr>
        <w:t xml:space="preserve">права на пенсію за вислугу років у зв’язку з недостатнім </w:t>
      </w:r>
      <w:r w:rsidR="00333CCB" w:rsidRPr="00DC2233">
        <w:rPr>
          <w:color w:val="000000" w:themeColor="text1"/>
          <w:sz w:val="28"/>
          <w:szCs w:val="28"/>
        </w:rPr>
        <w:t xml:space="preserve">спеціальним </w:t>
      </w:r>
      <w:r w:rsidR="003D6D1B" w:rsidRPr="00DC2233">
        <w:rPr>
          <w:color w:val="000000" w:themeColor="text1"/>
          <w:sz w:val="28"/>
          <w:szCs w:val="28"/>
        </w:rPr>
        <w:t>стажем роботи.</w:t>
      </w:r>
    </w:p>
    <w:p w:rsidR="0072521C" w:rsidRDefault="00B760D6" w:rsidP="00C75941">
      <w:pPr>
        <w:pStyle w:val="20"/>
        <w:widowControl/>
        <w:spacing w:after="0" w:line="348" w:lineRule="auto"/>
        <w:ind w:firstLine="567"/>
        <w:jc w:val="both"/>
        <w:rPr>
          <w:color w:val="000000" w:themeColor="text1"/>
        </w:rPr>
      </w:pPr>
      <w:r w:rsidRPr="00DC2233">
        <w:rPr>
          <w:color w:val="000000" w:themeColor="text1"/>
        </w:rPr>
        <w:t>Стверджуючи про</w:t>
      </w:r>
      <w:r w:rsidR="00E016A8" w:rsidRPr="00DC2233">
        <w:rPr>
          <w:color w:val="000000" w:themeColor="text1"/>
        </w:rPr>
        <w:t xml:space="preserve"> неконституційність </w:t>
      </w:r>
      <w:r w:rsidR="002E0276">
        <w:rPr>
          <w:color w:val="000000" w:themeColor="text1"/>
        </w:rPr>
        <w:t>абзацу</w:t>
      </w:r>
      <w:r w:rsidR="002E0276" w:rsidRPr="00DC2233">
        <w:rPr>
          <w:color w:val="000000" w:themeColor="text1"/>
        </w:rPr>
        <w:t xml:space="preserve"> перш</w:t>
      </w:r>
      <w:r w:rsidR="002E0276">
        <w:rPr>
          <w:color w:val="000000" w:themeColor="text1"/>
        </w:rPr>
        <w:t>ого</w:t>
      </w:r>
      <w:r w:rsidR="002E0276" w:rsidRPr="00DC2233">
        <w:rPr>
          <w:color w:val="000000" w:themeColor="text1"/>
        </w:rPr>
        <w:t xml:space="preserve"> пункту 2</w:t>
      </w:r>
      <w:r w:rsidR="002E0276" w:rsidRPr="00DC2233">
        <w:rPr>
          <w:color w:val="000000" w:themeColor="text1"/>
          <w:vertAlign w:val="superscript"/>
        </w:rPr>
        <w:t>1</w:t>
      </w:r>
      <w:r w:rsidR="002551FE">
        <w:rPr>
          <w:color w:val="000000" w:themeColor="text1"/>
        </w:rPr>
        <w:t>,</w:t>
      </w:r>
      <w:r w:rsidR="002551FE">
        <w:rPr>
          <w:color w:val="000000" w:themeColor="text1"/>
        </w:rPr>
        <w:br/>
      </w:r>
      <w:r w:rsidR="002E0276">
        <w:rPr>
          <w:color w:val="000000" w:themeColor="text1"/>
        </w:rPr>
        <w:t>абзацу другого</w:t>
      </w:r>
      <w:r w:rsidR="002E0276" w:rsidRPr="00DC2233">
        <w:rPr>
          <w:color w:val="000000" w:themeColor="text1"/>
        </w:rPr>
        <w:t xml:space="preserve"> пункту 16 розділу Х</w:t>
      </w:r>
      <w:r w:rsidR="002E0276" w:rsidRPr="00DC2233">
        <w:rPr>
          <w:color w:val="000000" w:themeColor="text1"/>
          <w:lang w:val="en-US"/>
        </w:rPr>
        <w:t>V</w:t>
      </w:r>
      <w:r w:rsidR="002E0276" w:rsidRPr="00DC2233">
        <w:rPr>
          <w:color w:val="000000" w:themeColor="text1"/>
        </w:rPr>
        <w:t xml:space="preserve"> „Прикінцеві положення“ Закону</w:t>
      </w:r>
      <w:r w:rsidR="00E016A8" w:rsidRPr="00DC2233">
        <w:rPr>
          <w:color w:val="000000" w:themeColor="text1"/>
        </w:rPr>
        <w:t xml:space="preserve">, </w:t>
      </w:r>
      <w:r w:rsidR="002E0276">
        <w:rPr>
          <w:color w:val="000000" w:themeColor="text1"/>
        </w:rPr>
        <w:t>суб’єкт права на конституційну скаргу</w:t>
      </w:r>
      <w:r w:rsidR="00E016A8" w:rsidRPr="00DC2233">
        <w:rPr>
          <w:color w:val="000000" w:themeColor="text1"/>
        </w:rPr>
        <w:t xml:space="preserve"> посилається на окремі </w:t>
      </w:r>
      <w:r w:rsidRPr="00DC2233">
        <w:rPr>
          <w:color w:val="000000" w:themeColor="text1"/>
        </w:rPr>
        <w:t>положення</w:t>
      </w:r>
      <w:r w:rsidR="00E016A8" w:rsidRPr="00DC2233">
        <w:rPr>
          <w:color w:val="000000" w:themeColor="text1"/>
        </w:rPr>
        <w:t xml:space="preserve"> Конституції України та </w:t>
      </w:r>
      <w:r w:rsidRPr="00DC2233">
        <w:rPr>
          <w:color w:val="000000" w:themeColor="text1"/>
        </w:rPr>
        <w:t>законів України</w:t>
      </w:r>
      <w:r w:rsidR="00E016A8" w:rsidRPr="00DC2233">
        <w:rPr>
          <w:color w:val="000000" w:themeColor="text1"/>
        </w:rPr>
        <w:t>.</w:t>
      </w:r>
    </w:p>
    <w:p w:rsidR="0072521C" w:rsidRDefault="00E016A8" w:rsidP="00C75941">
      <w:pPr>
        <w:spacing w:line="348" w:lineRule="auto"/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lastRenderedPageBreak/>
        <w:t>2. Досліджуючи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E016A8" w:rsidRPr="00DC2233" w:rsidRDefault="00E016A8" w:rsidP="00C75941">
      <w:pPr>
        <w:spacing w:line="348" w:lineRule="auto"/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t>Згідно із Законом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</w:t>
      </w:r>
      <w:r w:rsidR="00B760D6" w:rsidRPr="00DC2233">
        <w:rPr>
          <w:color w:val="000000" w:themeColor="text1"/>
          <w:sz w:val="28"/>
          <w:szCs w:val="28"/>
        </w:rPr>
        <w:t xml:space="preserve">і вимогам, визначеним, зокрема, </w:t>
      </w:r>
      <w:r w:rsidRPr="00DC2233">
        <w:rPr>
          <w:color w:val="000000" w:themeColor="text1"/>
          <w:sz w:val="28"/>
          <w:szCs w:val="28"/>
        </w:rPr>
        <w:t xml:space="preserve">статтею 55 цього закону (абзац перший </w:t>
      </w:r>
      <w:r w:rsidR="002E0276">
        <w:rPr>
          <w:color w:val="000000" w:themeColor="text1"/>
          <w:sz w:val="28"/>
          <w:szCs w:val="28"/>
        </w:rPr>
        <w:t xml:space="preserve">частини першої </w:t>
      </w:r>
      <w:r w:rsidRPr="00DC2233">
        <w:rPr>
          <w:color w:val="000000" w:themeColor="text1"/>
          <w:sz w:val="28"/>
          <w:szCs w:val="28"/>
        </w:rPr>
        <w:t>статті 77).</w:t>
      </w:r>
    </w:p>
    <w:p w:rsidR="00E016A8" w:rsidRPr="00DC2233" w:rsidRDefault="002E0276" w:rsidP="00C75941">
      <w:pPr>
        <w:spacing w:line="34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Аналіз</w:t>
      </w:r>
      <w:r w:rsidR="000745C7" w:rsidRPr="00DC2233">
        <w:rPr>
          <w:color w:val="000000" w:themeColor="text1"/>
          <w:sz w:val="28"/>
          <w:szCs w:val="28"/>
        </w:rPr>
        <w:t xml:space="preserve"> </w:t>
      </w:r>
      <w:r w:rsidR="003D6D1B" w:rsidRPr="00DC2233">
        <w:rPr>
          <w:color w:val="000000" w:themeColor="text1"/>
          <w:sz w:val="28"/>
          <w:szCs w:val="28"/>
        </w:rPr>
        <w:t xml:space="preserve">конституційної скарги та долучених до неї матеріалів </w:t>
      </w:r>
      <w:r>
        <w:rPr>
          <w:color w:val="000000" w:themeColor="text1"/>
          <w:sz w:val="28"/>
          <w:szCs w:val="28"/>
        </w:rPr>
        <w:t xml:space="preserve">дає підстави стверджувати, що </w:t>
      </w:r>
      <w:r w:rsidR="000745C7" w:rsidRPr="00DC2233">
        <w:rPr>
          <w:color w:val="000000" w:themeColor="text1"/>
          <w:sz w:val="28"/>
          <w:szCs w:val="28"/>
        </w:rPr>
        <w:t xml:space="preserve">аргументація </w:t>
      </w:r>
      <w:r w:rsidR="003D6D1B" w:rsidRPr="00DC2233">
        <w:rPr>
          <w:color w:val="000000" w:themeColor="text1"/>
          <w:sz w:val="28"/>
          <w:szCs w:val="28"/>
        </w:rPr>
        <w:t>с</w:t>
      </w:r>
      <w:r w:rsidR="00E016A8" w:rsidRPr="00DC2233">
        <w:rPr>
          <w:color w:val="000000" w:themeColor="text1"/>
          <w:sz w:val="28"/>
          <w:szCs w:val="28"/>
        </w:rPr>
        <w:t>уб’єкт</w:t>
      </w:r>
      <w:r w:rsidR="000745C7" w:rsidRPr="00DC2233">
        <w:rPr>
          <w:color w:val="000000" w:themeColor="text1"/>
          <w:sz w:val="28"/>
          <w:szCs w:val="28"/>
        </w:rPr>
        <w:t>а</w:t>
      </w:r>
      <w:r w:rsidR="00E016A8" w:rsidRPr="00DC2233">
        <w:rPr>
          <w:color w:val="000000" w:themeColor="text1"/>
          <w:sz w:val="28"/>
          <w:szCs w:val="28"/>
        </w:rPr>
        <w:t xml:space="preserve"> права на конституційну скаргу </w:t>
      </w:r>
      <w:r w:rsidR="000745C7" w:rsidRPr="00DC2233">
        <w:rPr>
          <w:color w:val="000000" w:themeColor="text1"/>
          <w:sz w:val="28"/>
          <w:szCs w:val="28"/>
        </w:rPr>
        <w:t>зводиться до незгоди</w:t>
      </w:r>
      <w:r w:rsidR="00E016A8" w:rsidRPr="00DC2233">
        <w:rPr>
          <w:color w:val="000000" w:themeColor="text1"/>
          <w:sz w:val="28"/>
          <w:szCs w:val="28"/>
        </w:rPr>
        <w:t xml:space="preserve"> із з</w:t>
      </w:r>
      <w:r w:rsidR="000745C7" w:rsidRPr="00DC2233">
        <w:rPr>
          <w:color w:val="000000" w:themeColor="text1"/>
          <w:sz w:val="28"/>
          <w:szCs w:val="28"/>
        </w:rPr>
        <w:t>астосуванням судами оспорюваних положень</w:t>
      </w:r>
      <w:r w:rsidR="00DC2233">
        <w:rPr>
          <w:color w:val="000000" w:themeColor="text1"/>
          <w:sz w:val="28"/>
          <w:szCs w:val="28"/>
        </w:rPr>
        <w:t xml:space="preserve"> </w:t>
      </w:r>
      <w:r w:rsidR="000745C7" w:rsidRPr="00DC2233">
        <w:rPr>
          <w:color w:val="000000" w:themeColor="text1"/>
          <w:sz w:val="28"/>
          <w:szCs w:val="28"/>
        </w:rPr>
        <w:t>Закону</w:t>
      </w:r>
      <w:r w:rsidR="00E016A8" w:rsidRPr="00DC2233">
        <w:rPr>
          <w:color w:val="000000" w:themeColor="text1"/>
          <w:sz w:val="28"/>
          <w:szCs w:val="28"/>
        </w:rPr>
        <w:t xml:space="preserve">, що не можна вважати обґрунтуванням тверджень </w:t>
      </w:r>
      <w:r w:rsidR="000745C7" w:rsidRPr="00DC2233">
        <w:rPr>
          <w:color w:val="000000" w:themeColor="text1"/>
          <w:sz w:val="28"/>
          <w:szCs w:val="28"/>
        </w:rPr>
        <w:t>щодо їх неконституційності.</w:t>
      </w:r>
    </w:p>
    <w:p w:rsidR="00E016A8" w:rsidRPr="00DC2233" w:rsidRDefault="00E016A8" w:rsidP="00C75941">
      <w:pPr>
        <w:spacing w:line="348" w:lineRule="auto"/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t>Конституційний Суд України неодноразов</w:t>
      </w:r>
      <w:r w:rsidR="002E0276">
        <w:rPr>
          <w:color w:val="000000" w:themeColor="text1"/>
          <w:sz w:val="28"/>
          <w:szCs w:val="28"/>
        </w:rPr>
        <w:t xml:space="preserve">о зазначав, що </w:t>
      </w:r>
      <w:r w:rsidRPr="00DC2233">
        <w:rPr>
          <w:color w:val="000000" w:themeColor="text1"/>
          <w:sz w:val="28"/>
          <w:szCs w:val="28"/>
        </w:rPr>
        <w:t xml:space="preserve">вирішення питань застосування судами законів України не належить до його компетенції; правозастосовна діяльність полягає в індивідуалізації норм права щодо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з метою їх застосування до конкретного випадку є складовою правозастосування і не належить до повноважень Конституційного Суду України </w:t>
      </w:r>
      <w:r w:rsidR="00C75941" w:rsidRPr="00C75941">
        <w:rPr>
          <w:color w:val="000000" w:themeColor="text1"/>
          <w:sz w:val="28"/>
          <w:szCs w:val="28"/>
          <w:lang w:val="ru-RU"/>
        </w:rPr>
        <w:t>[</w:t>
      </w:r>
      <w:r w:rsidRPr="00DC2233">
        <w:rPr>
          <w:color w:val="000000" w:themeColor="text1"/>
          <w:sz w:val="28"/>
          <w:szCs w:val="28"/>
        </w:rPr>
        <w:t>Ухвала Великої палати Конституційного Суду України</w:t>
      </w:r>
      <w:r w:rsidR="002551FE">
        <w:rPr>
          <w:color w:val="000000" w:themeColor="text1"/>
          <w:sz w:val="28"/>
          <w:szCs w:val="28"/>
        </w:rPr>
        <w:br/>
      </w:r>
      <w:r w:rsidRPr="00DC2233">
        <w:rPr>
          <w:color w:val="000000" w:themeColor="text1"/>
          <w:sz w:val="28"/>
          <w:szCs w:val="28"/>
        </w:rPr>
        <w:t xml:space="preserve">від 19 червня 2018 року </w:t>
      </w:r>
      <w:r w:rsidR="0072521C">
        <w:rPr>
          <w:color w:val="000000" w:themeColor="text1"/>
          <w:sz w:val="28"/>
          <w:szCs w:val="28"/>
        </w:rPr>
        <w:t xml:space="preserve">№ </w:t>
      </w:r>
      <w:r w:rsidRPr="00DC2233">
        <w:rPr>
          <w:color w:val="000000" w:themeColor="text1"/>
          <w:sz w:val="28"/>
          <w:szCs w:val="28"/>
        </w:rPr>
        <w:t>39-у/2018; ухвали Другого сенату Конституційного Суду України від 20 листопада 2019 рок</w:t>
      </w:r>
      <w:r w:rsidR="00B760D6" w:rsidRPr="00DC2233">
        <w:rPr>
          <w:color w:val="000000" w:themeColor="text1"/>
          <w:sz w:val="28"/>
          <w:szCs w:val="28"/>
        </w:rPr>
        <w:t xml:space="preserve">у </w:t>
      </w:r>
      <w:r w:rsidR="0072521C">
        <w:rPr>
          <w:color w:val="000000" w:themeColor="text1"/>
          <w:sz w:val="28"/>
          <w:szCs w:val="28"/>
        </w:rPr>
        <w:t xml:space="preserve">№ </w:t>
      </w:r>
      <w:r w:rsidR="00B760D6" w:rsidRPr="00DC2233">
        <w:rPr>
          <w:color w:val="000000" w:themeColor="text1"/>
          <w:sz w:val="28"/>
          <w:szCs w:val="28"/>
        </w:rPr>
        <w:t>70-у(II)/2019, від 1 квітня</w:t>
      </w:r>
      <w:r w:rsidR="002551FE">
        <w:rPr>
          <w:color w:val="000000" w:themeColor="text1"/>
          <w:sz w:val="28"/>
          <w:szCs w:val="28"/>
        </w:rPr>
        <w:t xml:space="preserve"> </w:t>
      </w:r>
      <w:r w:rsidR="002E0276">
        <w:rPr>
          <w:color w:val="000000" w:themeColor="text1"/>
          <w:sz w:val="28"/>
          <w:szCs w:val="28"/>
        </w:rPr>
        <w:t xml:space="preserve">2020 року </w:t>
      </w:r>
      <w:r w:rsidR="0072521C">
        <w:rPr>
          <w:color w:val="000000" w:themeColor="text1"/>
          <w:sz w:val="28"/>
          <w:szCs w:val="28"/>
        </w:rPr>
        <w:t xml:space="preserve">№ </w:t>
      </w:r>
      <w:r w:rsidR="002E0276">
        <w:rPr>
          <w:color w:val="000000" w:themeColor="text1"/>
          <w:sz w:val="28"/>
          <w:szCs w:val="28"/>
        </w:rPr>
        <w:t>5-уп(ІІ)/2020</w:t>
      </w:r>
      <w:r w:rsidR="00C75941" w:rsidRPr="00C75941">
        <w:rPr>
          <w:color w:val="000000" w:themeColor="text1"/>
          <w:sz w:val="28"/>
          <w:szCs w:val="28"/>
          <w:lang w:val="ru-RU"/>
        </w:rPr>
        <w:t>]</w:t>
      </w:r>
      <w:r w:rsidRPr="00DC2233">
        <w:rPr>
          <w:color w:val="000000" w:themeColor="text1"/>
          <w:sz w:val="28"/>
          <w:szCs w:val="28"/>
        </w:rPr>
        <w:t>.</w:t>
      </w:r>
    </w:p>
    <w:p w:rsidR="00E016A8" w:rsidRPr="00DC2233" w:rsidRDefault="00E016A8" w:rsidP="00C75941">
      <w:pPr>
        <w:spacing w:line="348" w:lineRule="auto"/>
        <w:ind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  <w:lang w:eastAsia="uk-UA"/>
        </w:rPr>
        <w:t>Отже, конституційна скарга</w:t>
      </w:r>
      <w:r w:rsidR="002E0276">
        <w:rPr>
          <w:color w:val="000000" w:themeColor="text1"/>
          <w:sz w:val="28"/>
          <w:szCs w:val="28"/>
          <w:lang w:eastAsia="uk-UA"/>
        </w:rPr>
        <w:t xml:space="preserve"> не відповідає вимогам пункту 6 </w:t>
      </w:r>
      <w:r w:rsidRPr="00DC2233">
        <w:rPr>
          <w:color w:val="000000" w:themeColor="text1"/>
          <w:sz w:val="28"/>
          <w:szCs w:val="28"/>
          <w:lang w:eastAsia="uk-UA"/>
        </w:rPr>
        <w:t xml:space="preserve"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</w:t>
      </w:r>
      <w:r w:rsidR="002E0276">
        <w:rPr>
          <w:color w:val="000000" w:themeColor="text1"/>
          <w:sz w:val="28"/>
          <w:szCs w:val="28"/>
        </w:rPr>
        <w:t>з</w:t>
      </w:r>
      <w:r w:rsidR="002551FE">
        <w:rPr>
          <w:color w:val="000000" w:themeColor="text1"/>
          <w:sz w:val="28"/>
          <w:szCs w:val="28"/>
        </w:rPr>
        <w:br/>
      </w:r>
      <w:r w:rsidRPr="00DC2233">
        <w:rPr>
          <w:color w:val="000000" w:themeColor="text1"/>
          <w:sz w:val="28"/>
          <w:szCs w:val="28"/>
        </w:rPr>
        <w:t>пунктом 4 статті 62 цього закону – неприйнятність конституційної скарги.</w:t>
      </w:r>
    </w:p>
    <w:p w:rsidR="00E016A8" w:rsidRPr="00DC2233" w:rsidRDefault="00E016A8" w:rsidP="002551FE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DC2233">
        <w:rPr>
          <w:color w:val="000000" w:themeColor="text1"/>
          <w:sz w:val="28"/>
          <w:szCs w:val="28"/>
          <w:lang w:eastAsia="uk-UA"/>
        </w:rPr>
        <w:lastRenderedPageBreak/>
        <w:t>Ураховуючи викладене та керуючись статтями 147, 151</w:t>
      </w:r>
      <w:r w:rsidRPr="00DC2233">
        <w:rPr>
          <w:color w:val="000000" w:themeColor="text1"/>
          <w:sz w:val="28"/>
          <w:szCs w:val="28"/>
          <w:vertAlign w:val="superscript"/>
          <w:lang w:eastAsia="uk-UA"/>
        </w:rPr>
        <w:t>1</w:t>
      </w:r>
      <w:r w:rsidRPr="00DC2233">
        <w:rPr>
          <w:color w:val="000000" w:themeColor="text1"/>
          <w:sz w:val="28"/>
          <w:szCs w:val="28"/>
          <w:lang w:eastAsia="uk-UA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E016A8" w:rsidRPr="00DC2233" w:rsidRDefault="00E016A8" w:rsidP="002551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016A8" w:rsidRPr="00DC2233" w:rsidRDefault="00E016A8" w:rsidP="002551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C223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х в а л и л а:</w:t>
      </w:r>
    </w:p>
    <w:p w:rsidR="00E016A8" w:rsidRPr="00DC2233" w:rsidRDefault="00E016A8" w:rsidP="002551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016A8" w:rsidRPr="00DC2233" w:rsidRDefault="00E016A8" w:rsidP="002551FE">
      <w:pPr>
        <w:pStyle w:val="20"/>
        <w:widowControl/>
        <w:spacing w:after="0" w:line="360" w:lineRule="auto"/>
        <w:ind w:firstLine="567"/>
        <w:jc w:val="both"/>
        <w:rPr>
          <w:color w:val="000000" w:themeColor="text1"/>
        </w:rPr>
      </w:pPr>
      <w:r w:rsidRPr="00DC2233">
        <w:rPr>
          <w:color w:val="000000" w:themeColor="text1"/>
        </w:rPr>
        <w:t>1. Відмовити у відкритті конституційного провадження у справі за конституційною скаргою</w:t>
      </w:r>
      <w:r w:rsidRPr="00DC2233">
        <w:rPr>
          <w:bCs/>
          <w:color w:val="000000" w:themeColor="text1"/>
        </w:rPr>
        <w:t xml:space="preserve"> </w:t>
      </w:r>
      <w:r w:rsidR="00B760D6" w:rsidRPr="00DC2233">
        <w:rPr>
          <w:bCs/>
          <w:color w:val="000000" w:themeColor="text1"/>
        </w:rPr>
        <w:t xml:space="preserve">Ромашко Тетяни Миколаївни </w:t>
      </w:r>
      <w:r w:rsidR="00B760D6" w:rsidRPr="00DC2233">
        <w:rPr>
          <w:color w:val="000000" w:themeColor="text1"/>
        </w:rPr>
        <w:t>щодо відповідності Конституції України (конституційності) абзацу першого пункту 2</w:t>
      </w:r>
      <w:r w:rsidR="00B760D6" w:rsidRPr="00DC2233">
        <w:rPr>
          <w:color w:val="000000" w:themeColor="text1"/>
          <w:vertAlign w:val="superscript"/>
        </w:rPr>
        <w:t>1</w:t>
      </w:r>
      <w:r w:rsidR="000745C7" w:rsidRPr="00DC2233">
        <w:rPr>
          <w:color w:val="000000" w:themeColor="text1"/>
        </w:rPr>
        <w:t>,</w:t>
      </w:r>
      <w:r w:rsidR="000745C7" w:rsidRPr="00DC2233">
        <w:rPr>
          <w:color w:val="000000" w:themeColor="text1"/>
        </w:rPr>
        <w:br/>
      </w:r>
      <w:r w:rsidR="00B760D6" w:rsidRPr="00DC2233">
        <w:rPr>
          <w:color w:val="000000" w:themeColor="text1"/>
        </w:rPr>
        <w:t>абзацу другого пункту 16 розділу Х</w:t>
      </w:r>
      <w:r w:rsidR="00B760D6" w:rsidRPr="00DC2233">
        <w:rPr>
          <w:color w:val="000000" w:themeColor="text1"/>
          <w:lang w:val="en-US"/>
        </w:rPr>
        <w:t>V</w:t>
      </w:r>
      <w:r w:rsidR="00B760D6" w:rsidRPr="00DC2233">
        <w:rPr>
          <w:color w:val="000000" w:themeColor="text1"/>
        </w:rPr>
        <w:t xml:space="preserve"> „Прикінцеві положення“ Закону України „Про загальнообов’язкове державне пенсійне страхування“</w:t>
      </w:r>
      <w:r w:rsidR="00B8415A">
        <w:rPr>
          <w:color w:val="000000" w:themeColor="text1"/>
        </w:rPr>
        <w:t xml:space="preserve"> від </w:t>
      </w:r>
      <w:r w:rsidR="00B8415A" w:rsidRPr="00DC2233">
        <w:rPr>
          <w:color w:val="000000" w:themeColor="text1"/>
        </w:rPr>
        <w:t>9 липня</w:t>
      </w:r>
      <w:r w:rsidR="00B8415A">
        <w:rPr>
          <w:color w:val="000000" w:themeColor="text1"/>
        </w:rPr>
        <w:t xml:space="preserve"> </w:t>
      </w:r>
      <w:r w:rsidR="00B8415A" w:rsidRPr="00DC2233">
        <w:rPr>
          <w:color w:val="000000" w:themeColor="text1"/>
        </w:rPr>
        <w:t xml:space="preserve">2003 року </w:t>
      </w:r>
      <w:r w:rsidR="0072521C">
        <w:rPr>
          <w:color w:val="000000" w:themeColor="text1"/>
        </w:rPr>
        <w:t xml:space="preserve">№ </w:t>
      </w:r>
      <w:r w:rsidR="00B8415A" w:rsidRPr="00DC2233">
        <w:rPr>
          <w:color w:val="000000" w:themeColor="text1"/>
        </w:rPr>
        <w:t>1058–І</w:t>
      </w:r>
      <w:r w:rsidR="00B8415A" w:rsidRPr="00DC2233">
        <w:rPr>
          <w:color w:val="000000" w:themeColor="text1"/>
          <w:lang w:val="en-US"/>
        </w:rPr>
        <w:t>V</w:t>
      </w:r>
      <w:r w:rsidR="000745C7" w:rsidRPr="00DC2233">
        <w:rPr>
          <w:color w:val="000000" w:themeColor="text1"/>
        </w:rPr>
        <w:t xml:space="preserve"> </w:t>
      </w:r>
      <w:r w:rsidR="00CE04FE">
        <w:rPr>
          <w:color w:val="000000" w:themeColor="text1"/>
        </w:rPr>
        <w:t>зі змінами</w:t>
      </w:r>
      <w:r w:rsidR="00B8415A">
        <w:rPr>
          <w:color w:val="000000" w:themeColor="text1"/>
        </w:rPr>
        <w:t xml:space="preserve"> </w:t>
      </w:r>
      <w:r w:rsidR="00CE04FE">
        <w:rPr>
          <w:color w:val="000000" w:themeColor="text1"/>
        </w:rPr>
        <w:t xml:space="preserve">на підставі </w:t>
      </w:r>
      <w:r w:rsidRPr="00DC2233">
        <w:rPr>
          <w:color w:val="000000" w:themeColor="text1"/>
        </w:rPr>
        <w:t>пункту 4 статті 62 Закону України „Про Конституційний Суд України“ – неприйнятність конституційної скарги.</w:t>
      </w:r>
    </w:p>
    <w:p w:rsidR="00E016A8" w:rsidRPr="00DC2233" w:rsidRDefault="00E016A8" w:rsidP="002551FE">
      <w:pPr>
        <w:pStyle w:val="a5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</w:p>
    <w:p w:rsidR="00E016A8" w:rsidRDefault="00E016A8" w:rsidP="002551FE">
      <w:pPr>
        <w:pStyle w:val="a5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2233">
        <w:rPr>
          <w:color w:val="000000" w:themeColor="text1"/>
          <w:sz w:val="28"/>
          <w:szCs w:val="28"/>
        </w:rPr>
        <w:t>2. Ухвала є остаточною.</w:t>
      </w:r>
    </w:p>
    <w:p w:rsidR="002551FE" w:rsidRDefault="002551FE" w:rsidP="002551FE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</w:p>
    <w:p w:rsidR="002551FE" w:rsidRDefault="002551FE" w:rsidP="002551FE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</w:p>
    <w:p w:rsidR="002551FE" w:rsidRDefault="002551FE" w:rsidP="002551FE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</w:p>
    <w:p w:rsidR="006E7EDD" w:rsidRPr="006E7EDD" w:rsidRDefault="006E7EDD" w:rsidP="006E7EDD">
      <w:pPr>
        <w:ind w:left="4254"/>
        <w:jc w:val="center"/>
        <w:rPr>
          <w:b/>
          <w:caps/>
          <w:color w:val="000000" w:themeColor="text1"/>
          <w:sz w:val="28"/>
          <w:szCs w:val="28"/>
        </w:rPr>
      </w:pPr>
      <w:r w:rsidRPr="006E7EDD">
        <w:rPr>
          <w:b/>
          <w:caps/>
          <w:color w:val="000000" w:themeColor="text1"/>
          <w:sz w:val="28"/>
          <w:szCs w:val="28"/>
        </w:rPr>
        <w:t>Перша колегія суддів</w:t>
      </w:r>
    </w:p>
    <w:p w:rsidR="006E7EDD" w:rsidRPr="006E7EDD" w:rsidRDefault="006E7EDD" w:rsidP="006E7EDD">
      <w:pPr>
        <w:ind w:left="4254"/>
        <w:jc w:val="center"/>
        <w:rPr>
          <w:b/>
          <w:caps/>
          <w:color w:val="000000" w:themeColor="text1"/>
          <w:sz w:val="28"/>
          <w:szCs w:val="28"/>
        </w:rPr>
      </w:pPr>
      <w:r w:rsidRPr="006E7EDD">
        <w:rPr>
          <w:b/>
          <w:caps/>
          <w:color w:val="000000" w:themeColor="text1"/>
          <w:sz w:val="28"/>
          <w:szCs w:val="28"/>
        </w:rPr>
        <w:t>Першого сенату</w:t>
      </w:r>
    </w:p>
    <w:p w:rsidR="006E7EDD" w:rsidRPr="006E7EDD" w:rsidRDefault="006E7EDD" w:rsidP="006E7EDD">
      <w:pPr>
        <w:ind w:left="4254"/>
        <w:jc w:val="center"/>
        <w:rPr>
          <w:b/>
          <w:caps/>
          <w:color w:val="000000" w:themeColor="text1"/>
          <w:sz w:val="28"/>
          <w:szCs w:val="28"/>
        </w:rPr>
      </w:pPr>
      <w:r w:rsidRPr="006E7EDD">
        <w:rPr>
          <w:b/>
          <w:caps/>
          <w:color w:val="000000" w:themeColor="text1"/>
          <w:sz w:val="28"/>
          <w:szCs w:val="28"/>
        </w:rPr>
        <w:t>Конституційного Суду України</w:t>
      </w:r>
    </w:p>
    <w:sectPr w:rsidR="006E7EDD" w:rsidRPr="006E7EDD" w:rsidSect="002551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4D" w:rsidRDefault="008F614D" w:rsidP="00E016A8">
      <w:r>
        <w:separator/>
      </w:r>
    </w:p>
  </w:endnote>
  <w:endnote w:type="continuationSeparator" w:id="0">
    <w:p w:rsidR="008F614D" w:rsidRDefault="008F614D" w:rsidP="00E0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FE" w:rsidRPr="002551FE" w:rsidRDefault="002551FE">
    <w:pPr>
      <w:pStyle w:val="a8"/>
      <w:rPr>
        <w:sz w:val="10"/>
        <w:szCs w:val="10"/>
      </w:rPr>
    </w:pPr>
    <w:r w:rsidRPr="002551FE">
      <w:rPr>
        <w:sz w:val="10"/>
        <w:szCs w:val="10"/>
      </w:rPr>
      <w:fldChar w:fldCharType="begin"/>
    </w:r>
    <w:r w:rsidRPr="002551FE">
      <w:rPr>
        <w:sz w:val="10"/>
        <w:szCs w:val="10"/>
      </w:rPr>
      <w:instrText xml:space="preserve"> FILENAME \p \* MERGEFORMAT </w:instrText>
    </w:r>
    <w:r w:rsidRPr="002551FE">
      <w:rPr>
        <w:sz w:val="10"/>
        <w:szCs w:val="10"/>
      </w:rPr>
      <w:fldChar w:fldCharType="separate"/>
    </w:r>
    <w:r w:rsidR="006E7EDD">
      <w:rPr>
        <w:noProof/>
        <w:sz w:val="10"/>
        <w:szCs w:val="10"/>
      </w:rPr>
      <w:t>G:\2022\Suddi\I senat\I koleg\34.docx</w:t>
    </w:r>
    <w:r w:rsidRPr="002551F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FE" w:rsidRPr="002551FE" w:rsidRDefault="002551FE">
    <w:pPr>
      <w:pStyle w:val="a8"/>
      <w:rPr>
        <w:sz w:val="10"/>
        <w:szCs w:val="10"/>
      </w:rPr>
    </w:pPr>
    <w:r w:rsidRPr="002551FE">
      <w:rPr>
        <w:sz w:val="10"/>
        <w:szCs w:val="10"/>
      </w:rPr>
      <w:fldChar w:fldCharType="begin"/>
    </w:r>
    <w:r w:rsidRPr="002551FE">
      <w:rPr>
        <w:sz w:val="10"/>
        <w:szCs w:val="10"/>
      </w:rPr>
      <w:instrText xml:space="preserve"> FILENAME \p \* MERGEFORMAT </w:instrText>
    </w:r>
    <w:r w:rsidRPr="002551FE">
      <w:rPr>
        <w:sz w:val="10"/>
        <w:szCs w:val="10"/>
      </w:rPr>
      <w:fldChar w:fldCharType="separate"/>
    </w:r>
    <w:r w:rsidR="006E7EDD">
      <w:rPr>
        <w:noProof/>
        <w:sz w:val="10"/>
        <w:szCs w:val="10"/>
      </w:rPr>
      <w:t>G:\2022\Suddi\I senat\I koleg\34.docx</w:t>
    </w:r>
    <w:r w:rsidRPr="002551F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4D" w:rsidRDefault="008F614D" w:rsidP="00E016A8">
      <w:r>
        <w:separator/>
      </w:r>
    </w:p>
  </w:footnote>
  <w:footnote w:type="continuationSeparator" w:id="0">
    <w:p w:rsidR="008F614D" w:rsidRDefault="008F614D" w:rsidP="00E0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0532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016A8" w:rsidRPr="00E016A8" w:rsidRDefault="00E016A8" w:rsidP="00E016A8">
        <w:pPr>
          <w:pStyle w:val="a6"/>
          <w:jc w:val="center"/>
          <w:rPr>
            <w:sz w:val="28"/>
          </w:rPr>
        </w:pPr>
        <w:r w:rsidRPr="00E016A8">
          <w:rPr>
            <w:sz w:val="28"/>
          </w:rPr>
          <w:fldChar w:fldCharType="begin"/>
        </w:r>
        <w:r w:rsidRPr="00E016A8">
          <w:rPr>
            <w:sz w:val="28"/>
          </w:rPr>
          <w:instrText>PAGE   \* MERGEFORMAT</w:instrText>
        </w:r>
        <w:r w:rsidRPr="00E016A8">
          <w:rPr>
            <w:sz w:val="28"/>
          </w:rPr>
          <w:fldChar w:fldCharType="separate"/>
        </w:r>
        <w:r w:rsidR="0072521C">
          <w:rPr>
            <w:noProof/>
            <w:sz w:val="28"/>
          </w:rPr>
          <w:t>2</w:t>
        </w:r>
        <w:r w:rsidRPr="00E016A8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A8" w:rsidRPr="00E016A8" w:rsidRDefault="00E016A8" w:rsidP="00037B26">
    <w:pPr>
      <w:pStyle w:val="a6"/>
      <w:jc w:val="center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DE0"/>
    <w:multiLevelType w:val="hybridMultilevel"/>
    <w:tmpl w:val="300A355C"/>
    <w:lvl w:ilvl="0" w:tplc="FDD0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33"/>
    <w:rsid w:val="00037B26"/>
    <w:rsid w:val="000745C7"/>
    <w:rsid w:val="001E4FA1"/>
    <w:rsid w:val="002551FE"/>
    <w:rsid w:val="00260613"/>
    <w:rsid w:val="00294962"/>
    <w:rsid w:val="002E0276"/>
    <w:rsid w:val="00333CCB"/>
    <w:rsid w:val="003B3440"/>
    <w:rsid w:val="003D6D1B"/>
    <w:rsid w:val="006958D8"/>
    <w:rsid w:val="006E7EDD"/>
    <w:rsid w:val="0072521C"/>
    <w:rsid w:val="00892503"/>
    <w:rsid w:val="008F614D"/>
    <w:rsid w:val="00976F4B"/>
    <w:rsid w:val="00A8695A"/>
    <w:rsid w:val="00B760D6"/>
    <w:rsid w:val="00B8415A"/>
    <w:rsid w:val="00C75941"/>
    <w:rsid w:val="00CB1E84"/>
    <w:rsid w:val="00CE04FE"/>
    <w:rsid w:val="00DC2233"/>
    <w:rsid w:val="00E016A8"/>
    <w:rsid w:val="00E770DA"/>
    <w:rsid w:val="00E82933"/>
    <w:rsid w:val="00F26937"/>
    <w:rsid w:val="00F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AE678-5264-443A-B2CC-BBDD2894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1FE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01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semiHidden/>
    <w:rsid w:val="00E016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E016A8"/>
    <w:pPr>
      <w:ind w:firstLine="720"/>
      <w:jc w:val="both"/>
    </w:pPr>
    <w:rPr>
      <w:rFonts w:eastAsia="Calibri"/>
      <w:b/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semiHidden/>
    <w:rsid w:val="00E016A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16A8"/>
    <w:pPr>
      <w:ind w:left="720"/>
      <w:contextualSpacing/>
    </w:pPr>
  </w:style>
  <w:style w:type="paragraph" w:customStyle="1" w:styleId="p1">
    <w:name w:val="p1"/>
    <w:basedOn w:val="a"/>
    <w:uiPriority w:val="99"/>
    <w:rsid w:val="00E016A8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character" w:customStyle="1" w:styleId="2">
    <w:name w:val="Основной текст (2)_"/>
    <w:link w:val="20"/>
    <w:locked/>
    <w:rsid w:val="00E016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6A8"/>
    <w:pPr>
      <w:widowControl w:val="0"/>
      <w:shd w:val="clear" w:color="auto" w:fill="FFFFFF"/>
      <w:spacing w:after="60" w:line="0" w:lineRule="atLeast"/>
      <w:jc w:val="right"/>
    </w:pPr>
    <w:rPr>
      <w:sz w:val="28"/>
      <w:szCs w:val="28"/>
      <w:lang w:eastAsia="en-US"/>
    </w:rPr>
  </w:style>
  <w:style w:type="paragraph" w:styleId="a6">
    <w:name w:val="header"/>
    <w:basedOn w:val="a"/>
    <w:link w:val="a7"/>
    <w:unhideWhenUsed/>
    <w:rsid w:val="00E016A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E0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16A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01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6">
    <w:name w:val="rvts96"/>
    <w:basedOn w:val="a0"/>
    <w:rsid w:val="001E4FA1"/>
  </w:style>
  <w:style w:type="paragraph" w:styleId="aa">
    <w:name w:val="Balloon Text"/>
    <w:basedOn w:val="a"/>
    <w:link w:val="ab"/>
    <w:uiPriority w:val="99"/>
    <w:semiHidden/>
    <w:unhideWhenUsed/>
    <w:rsid w:val="00E770D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770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551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4054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Віктор В. Чередниченко</cp:lastModifiedBy>
  <cp:revision>2</cp:revision>
  <cp:lastPrinted>2022-12-22T07:24:00Z</cp:lastPrinted>
  <dcterms:created xsi:type="dcterms:W3CDTF">2023-08-30T07:20:00Z</dcterms:created>
  <dcterms:modified xsi:type="dcterms:W3CDTF">2023-08-30T07:20:00Z</dcterms:modified>
</cp:coreProperties>
</file>