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6C3B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0" w:name="_Hlk136333194"/>
    </w:p>
    <w:p w14:paraId="30AD3A86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74037458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00505A08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37F9EC16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3C95FFB7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3027ECE2" w14:textId="77777777" w:rsidR="00F729E6" w:rsidRDefault="00F729E6" w:rsidP="00F729E6">
      <w:pPr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5F0B71C5" w14:textId="347CCDA2" w:rsidR="00AE101A" w:rsidRPr="00F729E6" w:rsidRDefault="00B26BCB" w:rsidP="00F729E6">
      <w:pPr>
        <w:tabs>
          <w:tab w:val="center" w:pos="4820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F729E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про відмову у відкритті конституційного провадження </w:t>
      </w:r>
      <w:bookmarkEnd w:id="0"/>
      <w:r w:rsidRPr="00F729E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у справі за конституційною скаргою </w:t>
      </w:r>
      <w:r w:rsidR="00AE101A" w:rsidRPr="00F729E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Семенка Бориса Миколайовича щодо відповідності Конституції України (конституційності) пункту 21 розділу X </w:t>
      </w:r>
      <w:r w:rsidR="00F729E6">
        <w:rPr>
          <w:rFonts w:ascii="Times New Roman" w:eastAsiaTheme="minorHAnsi" w:hAnsi="Times New Roman"/>
          <w:b/>
          <w:sz w:val="28"/>
          <w:szCs w:val="28"/>
          <w:lang w:eastAsia="ru-RU"/>
        </w:rPr>
        <w:br/>
      </w:r>
      <w:r w:rsidR="00F729E6">
        <w:rPr>
          <w:rFonts w:ascii="Times New Roman" w:eastAsiaTheme="minorHAnsi" w:hAnsi="Times New Roman"/>
          <w:b/>
          <w:sz w:val="28"/>
          <w:szCs w:val="28"/>
          <w:lang w:eastAsia="ru-RU"/>
        </w:rPr>
        <w:tab/>
      </w:r>
      <w:r w:rsidR="00AE101A" w:rsidRPr="00F729E6">
        <w:rPr>
          <w:rFonts w:ascii="Times New Roman" w:eastAsiaTheme="minorHAnsi" w:hAnsi="Times New Roman"/>
          <w:b/>
          <w:sz w:val="28"/>
          <w:szCs w:val="28"/>
          <w:lang w:eastAsia="ru-RU"/>
        </w:rPr>
        <w:t>„Перехідні положення“ Земельного кодексу України</w:t>
      </w:r>
      <w:r w:rsidR="00AE101A" w:rsidRPr="00F729E6">
        <w:rPr>
          <w:rFonts w:ascii="Times New Roman" w:hAnsi="Times New Roman"/>
          <w:sz w:val="28"/>
          <w:szCs w:val="28"/>
        </w:rPr>
        <w:t xml:space="preserve"> </w:t>
      </w:r>
    </w:p>
    <w:p w14:paraId="6280F32F" w14:textId="77777777" w:rsidR="00AE101A" w:rsidRPr="00F729E6" w:rsidRDefault="00AE101A" w:rsidP="00F729E6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013B418" w14:textId="5361159F" w:rsidR="00AE101A" w:rsidRPr="00F729E6" w:rsidRDefault="00B26BCB" w:rsidP="00F729E6">
      <w:pPr>
        <w:pStyle w:val="a3"/>
        <w:tabs>
          <w:tab w:val="clear" w:pos="4819"/>
          <w:tab w:val="clear" w:pos="9639"/>
          <w:tab w:val="right" w:pos="9638"/>
        </w:tabs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F729E6">
        <w:rPr>
          <w:rFonts w:ascii="Times New Roman" w:hAnsi="Times New Roman"/>
          <w:sz w:val="28"/>
          <w:szCs w:val="28"/>
          <w:lang w:eastAsia="uk-UA"/>
        </w:rPr>
        <w:t>К и ї в</w:t>
      </w:r>
      <w:r w:rsidR="00F729E6">
        <w:rPr>
          <w:rFonts w:ascii="Times New Roman" w:hAnsi="Times New Roman"/>
          <w:sz w:val="28"/>
          <w:szCs w:val="28"/>
          <w:lang w:eastAsia="uk-UA"/>
        </w:rPr>
        <w:tab/>
      </w:r>
      <w:r w:rsidR="00291F75" w:rsidRPr="00F729E6">
        <w:rPr>
          <w:rFonts w:ascii="Times New Roman" w:hAnsi="Times New Roman"/>
          <w:sz w:val="28"/>
          <w:szCs w:val="28"/>
          <w:lang w:eastAsia="uk-UA"/>
        </w:rPr>
        <w:t xml:space="preserve">Справа № </w:t>
      </w:r>
      <w:r w:rsidR="00AE101A" w:rsidRPr="00F729E6">
        <w:rPr>
          <w:rFonts w:ascii="Times New Roman" w:hAnsi="Times New Roman"/>
          <w:sz w:val="28"/>
          <w:szCs w:val="28"/>
          <w:shd w:val="clear" w:color="auto" w:fill="FFFFFF"/>
        </w:rPr>
        <w:t>3-138/2025(270/25)</w:t>
      </w:r>
    </w:p>
    <w:p w14:paraId="73AC0EDA" w14:textId="1AE74DDB" w:rsidR="00B26BCB" w:rsidRPr="00F729E6" w:rsidRDefault="00B7517C" w:rsidP="00F729E6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F729E6">
        <w:rPr>
          <w:rFonts w:ascii="Times New Roman" w:hAnsi="Times New Roman"/>
          <w:sz w:val="28"/>
          <w:szCs w:val="28"/>
          <w:lang w:eastAsia="uk-UA"/>
        </w:rPr>
        <w:t xml:space="preserve">8 </w:t>
      </w:r>
      <w:r w:rsidR="00AE101A" w:rsidRPr="00F729E6">
        <w:rPr>
          <w:rFonts w:ascii="Times New Roman" w:hAnsi="Times New Roman"/>
          <w:sz w:val="28"/>
          <w:szCs w:val="28"/>
          <w:lang w:eastAsia="uk-UA"/>
        </w:rPr>
        <w:t>жовтня</w:t>
      </w:r>
      <w:r w:rsidR="00BB2A18" w:rsidRPr="00F729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39D9" w:rsidRPr="00F729E6">
        <w:rPr>
          <w:rFonts w:ascii="Times New Roman" w:hAnsi="Times New Roman"/>
          <w:sz w:val="28"/>
          <w:szCs w:val="28"/>
          <w:lang w:eastAsia="uk-UA"/>
        </w:rPr>
        <w:t>2025</w:t>
      </w:r>
      <w:r w:rsidR="00B26BCB" w:rsidRPr="00F729E6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2AC2B975" w14:textId="1CD3CE72" w:rsidR="00B26BCB" w:rsidRPr="00F729E6" w:rsidRDefault="00A04794" w:rsidP="00F729E6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 w:rsidRPr="00F729E6">
        <w:rPr>
          <w:rFonts w:ascii="Times New Roman" w:hAnsi="Times New Roman"/>
          <w:sz w:val="28"/>
          <w:szCs w:val="28"/>
          <w:lang w:eastAsia="uk-UA"/>
        </w:rPr>
        <w:t>№</w:t>
      </w:r>
      <w:r w:rsidR="00B26BCB" w:rsidRPr="00F729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3A5C" w:rsidRPr="00F729E6">
        <w:rPr>
          <w:rFonts w:ascii="Times New Roman" w:hAnsi="Times New Roman"/>
          <w:sz w:val="28"/>
          <w:szCs w:val="28"/>
          <w:lang w:eastAsia="uk-UA"/>
        </w:rPr>
        <w:t>166</w:t>
      </w:r>
      <w:r w:rsidR="008239D9" w:rsidRPr="00F729E6">
        <w:rPr>
          <w:rFonts w:ascii="Times New Roman" w:hAnsi="Times New Roman"/>
          <w:sz w:val="28"/>
          <w:szCs w:val="28"/>
          <w:lang w:eastAsia="uk-UA"/>
        </w:rPr>
        <w:t>-2(І)/2025</w:t>
      </w:r>
    </w:p>
    <w:p w14:paraId="517BBB6B" w14:textId="407BF4D4" w:rsidR="00B26BCB" w:rsidRPr="00F729E6" w:rsidRDefault="00B26BCB" w:rsidP="00F729E6">
      <w:pPr>
        <w:jc w:val="both"/>
        <w:rPr>
          <w:rFonts w:ascii="Times New Roman" w:eastAsia="Calibri" w:hAnsi="Times New Roman"/>
          <w:sz w:val="28"/>
          <w:szCs w:val="28"/>
        </w:rPr>
      </w:pPr>
    </w:p>
    <w:p w14:paraId="12D1E6FE" w14:textId="77777777" w:rsidR="00B26BCB" w:rsidRPr="00F729E6" w:rsidRDefault="00B26BCB" w:rsidP="00F729E6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729E6">
        <w:rPr>
          <w:rFonts w:ascii="Times New Roman" w:eastAsia="Calibri" w:hAnsi="Times New Roman"/>
          <w:sz w:val="28"/>
          <w:szCs w:val="28"/>
        </w:rPr>
        <w:t>Друга колегія суддів Першого сенату Конституційного Суду України у складі:</w:t>
      </w:r>
    </w:p>
    <w:p w14:paraId="19976010" w14:textId="77777777" w:rsidR="00B26BCB" w:rsidRPr="00F729E6" w:rsidRDefault="00B26BCB" w:rsidP="00F729E6">
      <w:pPr>
        <w:pStyle w:val="a5"/>
        <w:shd w:val="clear" w:color="auto" w:fill="auto"/>
        <w:spacing w:line="240" w:lineRule="auto"/>
        <w:ind w:firstLine="567"/>
        <w:jc w:val="both"/>
        <w:rPr>
          <w:noProof w:val="0"/>
          <w:sz w:val="28"/>
          <w:szCs w:val="28"/>
        </w:rPr>
      </w:pPr>
    </w:p>
    <w:p w14:paraId="5F4D0BB8" w14:textId="2EDC244D" w:rsidR="00B26BCB" w:rsidRPr="00F729E6" w:rsidRDefault="00B26BCB" w:rsidP="00F729E6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F729E6">
        <w:rPr>
          <w:rFonts w:ascii="Times New Roman" w:eastAsia="Calibri" w:hAnsi="Times New Roman"/>
          <w:sz w:val="28"/>
          <w:szCs w:val="28"/>
          <w:lang w:eastAsia="uk-UA"/>
        </w:rPr>
        <w:t>Грищук Оксани Вікторівни – головуюч</w:t>
      </w:r>
      <w:r w:rsidR="00A8787B" w:rsidRPr="00F729E6">
        <w:rPr>
          <w:rFonts w:ascii="Times New Roman" w:eastAsia="Calibri" w:hAnsi="Times New Roman"/>
          <w:sz w:val="28"/>
          <w:szCs w:val="28"/>
          <w:lang w:eastAsia="uk-UA"/>
        </w:rPr>
        <w:t>ого</w:t>
      </w:r>
      <w:r w:rsidRPr="00F729E6">
        <w:rPr>
          <w:rFonts w:ascii="Times New Roman" w:eastAsia="Calibri" w:hAnsi="Times New Roman"/>
          <w:sz w:val="28"/>
          <w:szCs w:val="28"/>
          <w:lang w:eastAsia="uk-UA"/>
        </w:rPr>
        <w:t>, доповідача,</w:t>
      </w:r>
    </w:p>
    <w:p w14:paraId="29C77DBE" w14:textId="6585BCFC" w:rsidR="00B26BCB" w:rsidRPr="00F729E6" w:rsidRDefault="00916BCE" w:rsidP="00F729E6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F729E6">
        <w:rPr>
          <w:rFonts w:ascii="Times New Roman" w:eastAsia="Calibri" w:hAnsi="Times New Roman"/>
          <w:sz w:val="28"/>
          <w:szCs w:val="28"/>
          <w:lang w:eastAsia="uk-UA"/>
        </w:rPr>
        <w:t>Барабаша Юрія Григоровича</w:t>
      </w:r>
      <w:r w:rsidR="00B26BCB" w:rsidRPr="00F729E6">
        <w:rPr>
          <w:rFonts w:ascii="Times New Roman" w:eastAsia="Calibri" w:hAnsi="Times New Roman"/>
          <w:sz w:val="28"/>
          <w:szCs w:val="28"/>
          <w:lang w:eastAsia="uk-UA"/>
        </w:rPr>
        <w:t>,</w:t>
      </w:r>
    </w:p>
    <w:p w14:paraId="652FAB14" w14:textId="77777777" w:rsidR="00B26BCB" w:rsidRPr="00F729E6" w:rsidRDefault="00B26BCB" w:rsidP="00F729E6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F729E6">
        <w:rPr>
          <w:rFonts w:ascii="Times New Roman" w:eastAsia="Calibri" w:hAnsi="Times New Roman"/>
          <w:sz w:val="28"/>
          <w:szCs w:val="28"/>
          <w:lang w:eastAsia="uk-UA"/>
        </w:rPr>
        <w:t>Совгирі Ольги Володимирівни,</w:t>
      </w:r>
    </w:p>
    <w:p w14:paraId="70C2FBEC" w14:textId="77777777" w:rsidR="00B26BCB" w:rsidRPr="00F729E6" w:rsidRDefault="00B26BCB" w:rsidP="00F729E6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</w:p>
    <w:p w14:paraId="4C9D690F" w14:textId="47AC238D" w:rsidR="009A590F" w:rsidRPr="00F729E6" w:rsidRDefault="00B26BCB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</w:t>
      </w:r>
      <w:r w:rsidR="00916BCE" w:rsidRPr="00F729E6">
        <w:rPr>
          <w:rFonts w:ascii="Times New Roman" w:eastAsia="Times New Roman" w:hAnsi="Times New Roman"/>
          <w:sz w:val="28"/>
          <w:szCs w:val="28"/>
          <w:lang w:eastAsia="uk-UA"/>
        </w:rPr>
        <w:t xml:space="preserve">скаргою </w:t>
      </w:r>
      <w:r w:rsidR="00AE101A" w:rsidRPr="00F729E6">
        <w:rPr>
          <w:rFonts w:ascii="Times New Roman" w:eastAsia="Times New Roman" w:hAnsi="Times New Roman"/>
          <w:sz w:val="28"/>
          <w:szCs w:val="28"/>
          <w:lang w:eastAsia="uk-UA"/>
        </w:rPr>
        <w:t>Семенка Бориса Миколайовича щодо відповідності Конституції України (конституційності) пункту 21 розділу X „Перехідні положення“ Земельного кодексу України</w:t>
      </w:r>
      <w:r w:rsidR="000A7D7C" w:rsidRPr="00F729E6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0A485A0" w14:textId="77777777" w:rsidR="000A7D7C" w:rsidRPr="00F729E6" w:rsidRDefault="000A7D7C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6490657" w14:textId="77777777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Заслухавши суддю-доповідача Грищук О.В. та дослідивши матеріали справи, Друга колегія суддів Першого сенату Конституційного Суду України</w:t>
      </w:r>
    </w:p>
    <w:p w14:paraId="18684E7E" w14:textId="547457CA" w:rsidR="00E44F3D" w:rsidRPr="00F729E6" w:rsidRDefault="00E44F3D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F4B89A" w14:textId="1FD2B67B" w:rsidR="00B26BCB" w:rsidRPr="00F729E6" w:rsidRDefault="00B26BCB" w:rsidP="0087608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9E6">
        <w:rPr>
          <w:rFonts w:ascii="Times New Roman" w:hAnsi="Times New Roman"/>
          <w:b/>
          <w:bCs/>
          <w:sz w:val="28"/>
          <w:szCs w:val="28"/>
        </w:rPr>
        <w:t>у с т а н о в и л а:</w:t>
      </w:r>
    </w:p>
    <w:p w14:paraId="71AF44CD" w14:textId="77777777" w:rsidR="00E44F3D" w:rsidRPr="00F729E6" w:rsidRDefault="00E44F3D" w:rsidP="00876087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A2FCD" w14:textId="25BDFA8A" w:rsidR="000A7D7C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Семенко Б.М. </w:t>
      </w:r>
      <w:r w:rsidR="000A7D7C" w:rsidRPr="00F729E6">
        <w:rPr>
          <w:rFonts w:ascii="Times New Roman" w:hAnsi="Times New Roman"/>
          <w:bCs/>
          <w:sz w:val="28"/>
          <w:szCs w:val="28"/>
          <w:lang w:eastAsia="ru-RU"/>
        </w:rPr>
        <w:t>звернувся до Конституційного Суду України з клопотанням перевірити на</w:t>
      </w:r>
      <w:r w:rsidR="0012719D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відповідність</w:t>
      </w:r>
      <w:r w:rsidR="000A7D7C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>статті 8, частинам першій, другій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>четвертій</w:t>
      </w:r>
      <w:r w:rsidR="00F729E6">
        <w:rPr>
          <w:rFonts w:ascii="Times New Roman" w:hAnsi="Times New Roman"/>
          <w:bCs/>
          <w:sz w:val="28"/>
          <w:szCs w:val="28"/>
          <w:lang w:eastAsia="ru-RU"/>
        </w:rPr>
        <w:br/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>статті 13, стат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>ті 14, частинам першій, другій,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четвертій статті 41, статті 55 Конституції України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(конституційність) пункт 21 р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озділу Х „Перехідні положення“ Земельного кодексу України </w:t>
      </w:r>
      <w:r w:rsidR="002B638E" w:rsidRPr="00F729E6">
        <w:rPr>
          <w:rFonts w:ascii="Times New Roman" w:hAnsi="Times New Roman"/>
          <w:bCs/>
          <w:sz w:val="28"/>
          <w:szCs w:val="28"/>
          <w:lang w:eastAsia="ru-RU"/>
        </w:rPr>
        <w:t>(далі –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E101A" w:rsidRPr="00F729E6">
        <w:rPr>
          <w:rFonts w:ascii="Times New Roman" w:hAnsi="Times New Roman"/>
          <w:bCs/>
          <w:sz w:val="28"/>
          <w:szCs w:val="28"/>
          <w:lang w:eastAsia="ru-RU"/>
        </w:rPr>
        <w:t>Кодекс</w:t>
      </w:r>
      <w:r w:rsidR="002B638E" w:rsidRPr="00F729E6">
        <w:rPr>
          <w:rFonts w:ascii="Times New Roman" w:hAnsi="Times New Roman"/>
          <w:bCs/>
          <w:sz w:val="28"/>
          <w:szCs w:val="28"/>
          <w:lang w:eastAsia="ru-RU"/>
        </w:rPr>
        <w:t>).</w:t>
      </w:r>
    </w:p>
    <w:p w14:paraId="6379A9B4" w14:textId="5F6FD610" w:rsidR="00B26BCB" w:rsidRPr="00F729E6" w:rsidRDefault="00826046" w:rsidP="00876087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729E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Пунктом 21 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F729E6">
        <w:rPr>
          <w:rFonts w:ascii="Times New Roman" w:hAnsi="Times New Roman"/>
          <w:bCs/>
          <w:sz w:val="28"/>
          <w:szCs w:val="28"/>
          <w:lang w:eastAsia="ru-RU"/>
        </w:rPr>
        <w:t>озділу Х</w:t>
      </w:r>
      <w:r w:rsidR="002B638E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719D" w:rsidRPr="00F729E6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="002B638E" w:rsidRPr="00F729E6">
        <w:rPr>
          <w:rFonts w:ascii="Times New Roman" w:hAnsi="Times New Roman"/>
          <w:bCs/>
          <w:sz w:val="28"/>
          <w:szCs w:val="28"/>
          <w:lang w:eastAsia="ru-RU"/>
        </w:rPr>
        <w:t>Прикінцеві та перехідні поло</w:t>
      </w:r>
      <w:r w:rsidR="006E659D" w:rsidRPr="00F729E6">
        <w:rPr>
          <w:rFonts w:ascii="Times New Roman" w:hAnsi="Times New Roman"/>
          <w:bCs/>
          <w:sz w:val="28"/>
          <w:szCs w:val="28"/>
          <w:lang w:eastAsia="ru-RU"/>
        </w:rPr>
        <w:t>ження</w:t>
      </w:r>
      <w:r w:rsidR="0012719D" w:rsidRPr="00F729E6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="006E659D"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Кодексу </w:t>
      </w:r>
      <w:r w:rsidR="002B638E" w:rsidRPr="00F729E6">
        <w:rPr>
          <w:rFonts w:ascii="Times New Roman" w:hAnsi="Times New Roman"/>
          <w:bCs/>
          <w:sz w:val="28"/>
          <w:szCs w:val="28"/>
          <w:lang w:eastAsia="ru-RU"/>
        </w:rPr>
        <w:t>визначено</w:t>
      </w:r>
      <w:r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 таке: </w:t>
      </w:r>
      <w:r w:rsidR="00876087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8787B" w:rsidRPr="00F729E6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F729E6">
        <w:rPr>
          <w:rFonts w:ascii="Times New Roman" w:hAnsi="Times New Roman"/>
          <w:bCs/>
          <w:sz w:val="28"/>
          <w:szCs w:val="28"/>
          <w:lang w:eastAsia="ru-RU"/>
        </w:rPr>
        <w:t>становити, що з дня набрання чинності Законом України ,,Про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Україні“ землі колективних сільськогосподарських підприємств, що припинені (крім земельних ділянок, які на день набрання чинності зазначеним Законом перебували у приватній власності), вважаються власністю територіальних громад, на території яких вони розташовані. Зазначений Закон є підставою для державної реєстрації права комунальної власності на земельні ділянки, сформовані за рахунок земель, які в силу зазначеного Закону переходять до комунальної власності</w:t>
      </w:r>
      <w:r w:rsidR="00876087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F729E6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4CF493E" w14:textId="77777777" w:rsidR="00826046" w:rsidRPr="00F729E6" w:rsidRDefault="00826046" w:rsidP="00876087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E7360A" w14:textId="70B62217" w:rsidR="007862D2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Pr="00F729E6">
        <w:rPr>
          <w:rFonts w:ascii="Times New Roman" w:hAnsi="Times New Roman"/>
          <w:sz w:val="28"/>
          <w:szCs w:val="28"/>
        </w:rPr>
        <w:t xml:space="preserve"> Зі змісту конституційної скарги та долучених до неї документів і матеріалів убачається таке.</w:t>
      </w:r>
    </w:p>
    <w:p w14:paraId="5E899FED" w14:textId="3D6DC29A" w:rsidR="00B51C78" w:rsidRPr="00F729E6" w:rsidRDefault="001A5C1E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 xml:space="preserve">Семенко Б.М. </w:t>
      </w:r>
      <w:r w:rsidR="00B51C78" w:rsidRPr="00F729E6">
        <w:rPr>
          <w:rFonts w:ascii="Times New Roman" w:hAnsi="Times New Roman"/>
          <w:sz w:val="28"/>
          <w:szCs w:val="28"/>
        </w:rPr>
        <w:t xml:space="preserve">та </w:t>
      </w:r>
      <w:r w:rsidR="00C26CBA" w:rsidRPr="00F729E6">
        <w:rPr>
          <w:rFonts w:ascii="Times New Roman" w:hAnsi="Times New Roman"/>
          <w:sz w:val="28"/>
          <w:szCs w:val="28"/>
        </w:rPr>
        <w:t>с</w:t>
      </w:r>
      <w:r w:rsidR="00A8787B" w:rsidRPr="00F729E6">
        <w:rPr>
          <w:rFonts w:ascii="Times New Roman" w:hAnsi="Times New Roman"/>
          <w:sz w:val="28"/>
          <w:szCs w:val="28"/>
        </w:rPr>
        <w:t xml:space="preserve">ільськогосподарський виробничий кооператив „Перемога“ (далі – </w:t>
      </w:r>
      <w:r w:rsidR="00B51C78" w:rsidRPr="00F729E6">
        <w:rPr>
          <w:rFonts w:ascii="Times New Roman" w:hAnsi="Times New Roman"/>
          <w:sz w:val="28"/>
          <w:szCs w:val="28"/>
        </w:rPr>
        <w:t xml:space="preserve">СГВК </w:t>
      </w:r>
      <w:r w:rsidRPr="00F729E6">
        <w:rPr>
          <w:rFonts w:ascii="Times New Roman" w:hAnsi="Times New Roman"/>
          <w:sz w:val="28"/>
          <w:szCs w:val="28"/>
        </w:rPr>
        <w:t>„</w:t>
      </w:r>
      <w:r w:rsidR="00B51C78" w:rsidRPr="00F729E6">
        <w:rPr>
          <w:rFonts w:ascii="Times New Roman" w:hAnsi="Times New Roman"/>
          <w:sz w:val="28"/>
          <w:szCs w:val="28"/>
        </w:rPr>
        <w:t>Перемога</w:t>
      </w:r>
      <w:r w:rsidRPr="00F729E6">
        <w:rPr>
          <w:rFonts w:ascii="Times New Roman" w:hAnsi="Times New Roman"/>
          <w:sz w:val="28"/>
          <w:szCs w:val="28"/>
        </w:rPr>
        <w:t>“</w:t>
      </w:r>
      <w:r w:rsidR="00A8787B" w:rsidRPr="00F729E6">
        <w:rPr>
          <w:rFonts w:ascii="Times New Roman" w:hAnsi="Times New Roman"/>
          <w:sz w:val="28"/>
          <w:szCs w:val="28"/>
        </w:rPr>
        <w:t>)</w:t>
      </w:r>
      <w:r w:rsidR="00B51C78" w:rsidRPr="00F729E6">
        <w:rPr>
          <w:rFonts w:ascii="Times New Roman" w:hAnsi="Times New Roman"/>
          <w:sz w:val="28"/>
          <w:szCs w:val="28"/>
        </w:rPr>
        <w:t xml:space="preserve"> </w:t>
      </w:r>
      <w:r w:rsidRPr="00F729E6">
        <w:rPr>
          <w:rFonts w:ascii="Times New Roman" w:hAnsi="Times New Roman"/>
          <w:sz w:val="28"/>
          <w:szCs w:val="28"/>
        </w:rPr>
        <w:t>24 січня 2024 року уклали</w:t>
      </w:r>
      <w:r w:rsidR="00B51C78" w:rsidRPr="00F729E6">
        <w:rPr>
          <w:rFonts w:ascii="Times New Roman" w:hAnsi="Times New Roman"/>
          <w:sz w:val="28"/>
          <w:szCs w:val="28"/>
        </w:rPr>
        <w:t xml:space="preserve"> договір</w:t>
      </w:r>
      <w:r w:rsidR="00F729E6">
        <w:rPr>
          <w:rFonts w:ascii="Times New Roman" w:hAnsi="Times New Roman"/>
          <w:sz w:val="28"/>
          <w:szCs w:val="28"/>
        </w:rPr>
        <w:br/>
      </w:r>
      <w:r w:rsidR="00B51C78" w:rsidRPr="00F729E6">
        <w:rPr>
          <w:rFonts w:ascii="Times New Roman" w:hAnsi="Times New Roman"/>
          <w:sz w:val="28"/>
          <w:szCs w:val="28"/>
        </w:rPr>
        <w:t xml:space="preserve">купівлі-продажу земельної ділянки площею 40,248 га з цільовим призначенням </w:t>
      </w:r>
      <w:r w:rsidRPr="00F729E6">
        <w:rPr>
          <w:rFonts w:ascii="Times New Roman" w:hAnsi="Times New Roman"/>
          <w:sz w:val="28"/>
          <w:szCs w:val="28"/>
        </w:rPr>
        <w:t>,,</w:t>
      </w:r>
      <w:r w:rsidR="00B51C78" w:rsidRPr="00F729E6">
        <w:rPr>
          <w:rFonts w:ascii="Times New Roman" w:hAnsi="Times New Roman"/>
          <w:sz w:val="28"/>
          <w:szCs w:val="28"/>
        </w:rPr>
        <w:t>для іншого сільськогосподарського призначення</w:t>
      </w:r>
      <w:r w:rsidRPr="00F729E6">
        <w:rPr>
          <w:rFonts w:ascii="Times New Roman" w:hAnsi="Times New Roman"/>
          <w:sz w:val="28"/>
          <w:szCs w:val="28"/>
        </w:rPr>
        <w:t>“</w:t>
      </w:r>
      <w:r w:rsidR="00B51C78" w:rsidRPr="00F729E6">
        <w:rPr>
          <w:rFonts w:ascii="Times New Roman" w:hAnsi="Times New Roman"/>
          <w:sz w:val="28"/>
          <w:szCs w:val="28"/>
        </w:rPr>
        <w:t xml:space="preserve">, посвідчений приватним нотаріусом Вишгородського районного нотаріального округу Київської області Біланом Є.Г. </w:t>
      </w:r>
    </w:p>
    <w:p w14:paraId="20ECB83A" w14:textId="2839F880" w:rsidR="001A5C1E" w:rsidRPr="00F729E6" w:rsidRDefault="00B51C78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У березні 2024 року керівник Вишгород</w:t>
      </w:r>
      <w:r w:rsidR="001A5C1E" w:rsidRPr="00F729E6">
        <w:rPr>
          <w:rFonts w:ascii="Times New Roman" w:hAnsi="Times New Roman"/>
          <w:sz w:val="28"/>
          <w:szCs w:val="28"/>
        </w:rPr>
        <w:t xml:space="preserve">ської окружної прокуратури </w:t>
      </w:r>
      <w:r w:rsidRPr="00F729E6">
        <w:rPr>
          <w:rFonts w:ascii="Times New Roman" w:hAnsi="Times New Roman"/>
          <w:sz w:val="28"/>
          <w:szCs w:val="28"/>
        </w:rPr>
        <w:t>Київської області в інтересах держави в особі Іванківської селищної ради Вишгородського району Київської області зверну</w:t>
      </w:r>
      <w:r w:rsidR="001A5C1E" w:rsidRPr="00F729E6">
        <w:rPr>
          <w:rFonts w:ascii="Times New Roman" w:hAnsi="Times New Roman"/>
          <w:sz w:val="28"/>
          <w:szCs w:val="28"/>
        </w:rPr>
        <w:t xml:space="preserve">вся до Іванківського районного </w:t>
      </w:r>
      <w:r w:rsidRPr="00F729E6">
        <w:rPr>
          <w:rFonts w:ascii="Times New Roman" w:hAnsi="Times New Roman"/>
          <w:sz w:val="28"/>
          <w:szCs w:val="28"/>
        </w:rPr>
        <w:t xml:space="preserve">суду Київської області із позовною заявою до </w:t>
      </w:r>
      <w:r w:rsidR="001A5C1E" w:rsidRPr="00F729E6">
        <w:rPr>
          <w:rFonts w:ascii="Times New Roman" w:hAnsi="Times New Roman"/>
          <w:sz w:val="28"/>
          <w:szCs w:val="28"/>
        </w:rPr>
        <w:t>Семенка Б.М., третя особа</w:t>
      </w:r>
      <w:r w:rsidR="00876087">
        <w:rPr>
          <w:rFonts w:ascii="Times New Roman" w:hAnsi="Times New Roman"/>
          <w:sz w:val="28"/>
          <w:szCs w:val="28"/>
        </w:rPr>
        <w:br/>
      </w:r>
      <w:r w:rsidR="001A5C1E" w:rsidRPr="00F729E6">
        <w:rPr>
          <w:rFonts w:ascii="Times New Roman" w:hAnsi="Times New Roman"/>
          <w:sz w:val="28"/>
          <w:szCs w:val="28"/>
        </w:rPr>
        <w:t xml:space="preserve">СГВК </w:t>
      </w:r>
      <w:r w:rsidR="00DA3A05" w:rsidRPr="00F729E6">
        <w:rPr>
          <w:rFonts w:ascii="Times New Roman" w:hAnsi="Times New Roman"/>
          <w:sz w:val="28"/>
          <w:szCs w:val="28"/>
        </w:rPr>
        <w:t>,,</w:t>
      </w:r>
      <w:r w:rsidRPr="00F729E6">
        <w:rPr>
          <w:rFonts w:ascii="Times New Roman" w:hAnsi="Times New Roman"/>
          <w:sz w:val="28"/>
          <w:szCs w:val="28"/>
        </w:rPr>
        <w:t>Перемога</w:t>
      </w:r>
      <w:r w:rsidR="00DA3A05" w:rsidRPr="00F729E6">
        <w:rPr>
          <w:rFonts w:ascii="Times New Roman" w:hAnsi="Times New Roman"/>
          <w:sz w:val="28"/>
          <w:szCs w:val="28"/>
        </w:rPr>
        <w:t>“</w:t>
      </w:r>
      <w:r w:rsidRPr="00F729E6">
        <w:rPr>
          <w:rFonts w:ascii="Times New Roman" w:hAnsi="Times New Roman"/>
          <w:sz w:val="28"/>
          <w:szCs w:val="28"/>
        </w:rPr>
        <w:t>, про витребування земельної</w:t>
      </w:r>
      <w:r w:rsidR="001A5C1E" w:rsidRPr="00F729E6">
        <w:rPr>
          <w:rFonts w:ascii="Times New Roman" w:hAnsi="Times New Roman"/>
          <w:sz w:val="28"/>
          <w:szCs w:val="28"/>
        </w:rPr>
        <w:t xml:space="preserve"> ділянки із чужого незаконного </w:t>
      </w:r>
      <w:r w:rsidRPr="00F729E6">
        <w:rPr>
          <w:rFonts w:ascii="Times New Roman" w:hAnsi="Times New Roman"/>
          <w:sz w:val="28"/>
          <w:szCs w:val="28"/>
        </w:rPr>
        <w:t xml:space="preserve">володіння. </w:t>
      </w:r>
    </w:p>
    <w:p w14:paraId="64543669" w14:textId="11118951" w:rsidR="00967523" w:rsidRPr="00F729E6" w:rsidRDefault="00B51C78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Іванківськ</w:t>
      </w:r>
      <w:r w:rsidR="00A8787B" w:rsidRPr="00F729E6">
        <w:rPr>
          <w:rFonts w:ascii="Times New Roman" w:hAnsi="Times New Roman"/>
          <w:sz w:val="28"/>
          <w:szCs w:val="28"/>
        </w:rPr>
        <w:t>ий</w:t>
      </w:r>
      <w:r w:rsidRPr="00F729E6">
        <w:rPr>
          <w:rFonts w:ascii="Times New Roman" w:hAnsi="Times New Roman"/>
          <w:sz w:val="28"/>
          <w:szCs w:val="28"/>
        </w:rPr>
        <w:t xml:space="preserve"> ра</w:t>
      </w:r>
      <w:r w:rsidR="001A5C1E" w:rsidRPr="00F729E6">
        <w:rPr>
          <w:rFonts w:ascii="Times New Roman" w:hAnsi="Times New Roman"/>
          <w:sz w:val="28"/>
          <w:szCs w:val="28"/>
        </w:rPr>
        <w:t>йонн</w:t>
      </w:r>
      <w:r w:rsidR="00A8787B" w:rsidRPr="00F729E6">
        <w:rPr>
          <w:rFonts w:ascii="Times New Roman" w:hAnsi="Times New Roman"/>
          <w:sz w:val="28"/>
          <w:szCs w:val="28"/>
        </w:rPr>
        <w:t>ий суд</w:t>
      </w:r>
      <w:r w:rsidR="001A5C1E" w:rsidRPr="00F729E6">
        <w:rPr>
          <w:rFonts w:ascii="Times New Roman" w:hAnsi="Times New Roman"/>
          <w:sz w:val="28"/>
          <w:szCs w:val="28"/>
        </w:rPr>
        <w:t xml:space="preserve"> Київської області </w:t>
      </w:r>
      <w:r w:rsidR="00A8787B" w:rsidRPr="00F729E6">
        <w:rPr>
          <w:rFonts w:ascii="Times New Roman" w:hAnsi="Times New Roman"/>
          <w:sz w:val="28"/>
          <w:szCs w:val="28"/>
        </w:rPr>
        <w:t xml:space="preserve">ухвалою </w:t>
      </w:r>
      <w:r w:rsidRPr="00F729E6">
        <w:rPr>
          <w:rFonts w:ascii="Times New Roman" w:hAnsi="Times New Roman"/>
          <w:sz w:val="28"/>
          <w:szCs w:val="28"/>
        </w:rPr>
        <w:t>від 20 березня</w:t>
      </w:r>
      <w:r w:rsidR="00F729E6">
        <w:rPr>
          <w:rFonts w:ascii="Times New Roman" w:hAnsi="Times New Roman"/>
          <w:sz w:val="28"/>
          <w:szCs w:val="28"/>
        </w:rPr>
        <w:br/>
      </w:r>
      <w:r w:rsidRPr="00F729E6">
        <w:rPr>
          <w:rFonts w:ascii="Times New Roman" w:hAnsi="Times New Roman"/>
          <w:sz w:val="28"/>
          <w:szCs w:val="28"/>
        </w:rPr>
        <w:t>2024 року у справі № 366/75</w:t>
      </w:r>
      <w:r w:rsidR="001A5C1E" w:rsidRPr="00F729E6">
        <w:rPr>
          <w:rFonts w:ascii="Times New Roman" w:hAnsi="Times New Roman"/>
          <w:sz w:val="28"/>
          <w:szCs w:val="28"/>
        </w:rPr>
        <w:t>2/24 відкри</w:t>
      </w:r>
      <w:r w:rsidR="00A8787B" w:rsidRPr="00F729E6">
        <w:rPr>
          <w:rFonts w:ascii="Times New Roman" w:hAnsi="Times New Roman"/>
          <w:sz w:val="28"/>
          <w:szCs w:val="28"/>
        </w:rPr>
        <w:t>в</w:t>
      </w:r>
      <w:r w:rsidR="001A5C1E" w:rsidRPr="00F729E6">
        <w:rPr>
          <w:rFonts w:ascii="Times New Roman" w:hAnsi="Times New Roman"/>
          <w:sz w:val="28"/>
          <w:szCs w:val="28"/>
        </w:rPr>
        <w:t xml:space="preserve"> провадження. Під час розгляду справи суд </w:t>
      </w:r>
      <w:r w:rsidR="00D12814" w:rsidRPr="00F729E6">
        <w:rPr>
          <w:rFonts w:ascii="Times New Roman" w:hAnsi="Times New Roman"/>
          <w:sz w:val="28"/>
          <w:szCs w:val="28"/>
        </w:rPr>
        <w:t>встанов</w:t>
      </w:r>
      <w:r w:rsidR="00876087">
        <w:rPr>
          <w:rFonts w:ascii="Times New Roman" w:hAnsi="Times New Roman"/>
          <w:sz w:val="28"/>
          <w:szCs w:val="28"/>
        </w:rPr>
        <w:t>ив</w:t>
      </w:r>
      <w:r w:rsidRPr="00F729E6">
        <w:rPr>
          <w:rFonts w:ascii="Times New Roman" w:hAnsi="Times New Roman"/>
          <w:sz w:val="28"/>
          <w:szCs w:val="28"/>
        </w:rPr>
        <w:t>, що земля,</w:t>
      </w:r>
      <w:r w:rsidR="001A5C1E" w:rsidRPr="00F729E6">
        <w:rPr>
          <w:rFonts w:ascii="Times New Roman" w:hAnsi="Times New Roman"/>
          <w:sz w:val="28"/>
          <w:szCs w:val="28"/>
        </w:rPr>
        <w:t xml:space="preserve"> яку придбав Семенко Б.М., раніше </w:t>
      </w:r>
      <w:r w:rsidRPr="00F729E6">
        <w:rPr>
          <w:rFonts w:ascii="Times New Roman" w:hAnsi="Times New Roman"/>
          <w:sz w:val="28"/>
          <w:szCs w:val="28"/>
        </w:rPr>
        <w:t xml:space="preserve">належала колгоспу </w:t>
      </w:r>
      <w:r w:rsidR="00967523" w:rsidRPr="00F729E6">
        <w:rPr>
          <w:rFonts w:ascii="Times New Roman" w:hAnsi="Times New Roman"/>
          <w:sz w:val="28"/>
          <w:szCs w:val="28"/>
        </w:rPr>
        <w:lastRenderedPageBreak/>
        <w:t>,,</w:t>
      </w:r>
      <w:r w:rsidRPr="00F729E6">
        <w:rPr>
          <w:rFonts w:ascii="Times New Roman" w:hAnsi="Times New Roman"/>
          <w:sz w:val="28"/>
          <w:szCs w:val="28"/>
        </w:rPr>
        <w:t>Перемога</w:t>
      </w:r>
      <w:r w:rsidR="00967523" w:rsidRPr="00F729E6">
        <w:rPr>
          <w:rFonts w:ascii="Times New Roman" w:hAnsi="Times New Roman"/>
          <w:sz w:val="28"/>
          <w:szCs w:val="28"/>
        </w:rPr>
        <w:t>“</w:t>
      </w:r>
      <w:r w:rsidRPr="00F729E6">
        <w:rPr>
          <w:rFonts w:ascii="Times New Roman" w:hAnsi="Times New Roman"/>
          <w:sz w:val="28"/>
          <w:szCs w:val="28"/>
        </w:rPr>
        <w:t>, який неодноразово зміню</w:t>
      </w:r>
      <w:r w:rsidR="001A5C1E" w:rsidRPr="00F729E6">
        <w:rPr>
          <w:rFonts w:ascii="Times New Roman" w:hAnsi="Times New Roman"/>
          <w:sz w:val="28"/>
          <w:szCs w:val="28"/>
        </w:rPr>
        <w:t xml:space="preserve">вав свою організаційно-правову </w:t>
      </w:r>
      <w:r w:rsidR="00A8787B" w:rsidRPr="00F729E6">
        <w:rPr>
          <w:rFonts w:ascii="Times New Roman" w:hAnsi="Times New Roman"/>
          <w:sz w:val="28"/>
          <w:szCs w:val="28"/>
        </w:rPr>
        <w:t>форму,</w:t>
      </w:r>
      <w:r w:rsidR="00D12814" w:rsidRPr="00F729E6">
        <w:rPr>
          <w:rFonts w:ascii="Times New Roman" w:hAnsi="Times New Roman"/>
          <w:sz w:val="28"/>
          <w:szCs w:val="28"/>
        </w:rPr>
        <w:t xml:space="preserve"> а також те, </w:t>
      </w:r>
      <w:r w:rsidR="00967523" w:rsidRPr="00F729E6">
        <w:rPr>
          <w:rFonts w:ascii="Times New Roman" w:hAnsi="Times New Roman"/>
          <w:sz w:val="28"/>
          <w:szCs w:val="28"/>
        </w:rPr>
        <w:t>що 22 липня 2019 року держ</w:t>
      </w:r>
      <w:r w:rsidR="00A8787B" w:rsidRPr="00F729E6">
        <w:rPr>
          <w:rFonts w:ascii="Times New Roman" w:hAnsi="Times New Roman"/>
          <w:sz w:val="28"/>
          <w:szCs w:val="28"/>
        </w:rPr>
        <w:t>авний реєстратор</w:t>
      </w:r>
      <w:r w:rsidR="00967523" w:rsidRPr="00F729E6">
        <w:rPr>
          <w:rFonts w:ascii="Times New Roman" w:hAnsi="Times New Roman"/>
          <w:sz w:val="28"/>
          <w:szCs w:val="28"/>
        </w:rPr>
        <w:t xml:space="preserve"> виконавчого комітету Березанської міської ради Київської області пр</w:t>
      </w:r>
      <w:r w:rsidR="00A8787B" w:rsidRPr="00F729E6">
        <w:rPr>
          <w:rFonts w:ascii="Times New Roman" w:hAnsi="Times New Roman"/>
          <w:sz w:val="28"/>
          <w:szCs w:val="28"/>
        </w:rPr>
        <w:t>ийняв</w:t>
      </w:r>
      <w:r w:rsidR="00967523" w:rsidRPr="00F729E6">
        <w:rPr>
          <w:rFonts w:ascii="Times New Roman" w:hAnsi="Times New Roman"/>
          <w:sz w:val="28"/>
          <w:szCs w:val="28"/>
        </w:rPr>
        <w:t xml:space="preserve"> </w:t>
      </w:r>
      <w:r w:rsidR="00D12814" w:rsidRPr="00F729E6">
        <w:rPr>
          <w:rFonts w:ascii="Times New Roman" w:hAnsi="Times New Roman"/>
          <w:sz w:val="28"/>
          <w:szCs w:val="28"/>
        </w:rPr>
        <w:t xml:space="preserve">рішення </w:t>
      </w:r>
      <w:r w:rsidR="00967523" w:rsidRPr="00F729E6">
        <w:rPr>
          <w:rFonts w:ascii="Times New Roman" w:hAnsi="Times New Roman"/>
          <w:sz w:val="28"/>
          <w:szCs w:val="28"/>
        </w:rPr>
        <w:t>про державну реєстрацію права приватної власності на земельну ділянку площею 40,248 га з цільовим призначенням для іншого сільськогосподарського призначення за</w:t>
      </w:r>
      <w:r w:rsidR="00D12814" w:rsidRPr="00F729E6">
        <w:rPr>
          <w:rFonts w:ascii="Times New Roman" w:hAnsi="Times New Roman"/>
          <w:sz w:val="28"/>
          <w:szCs w:val="28"/>
        </w:rPr>
        <w:t xml:space="preserve"> </w:t>
      </w:r>
      <w:r w:rsidR="00A8787B" w:rsidRPr="00F729E6">
        <w:rPr>
          <w:rFonts w:ascii="Times New Roman" w:hAnsi="Times New Roman"/>
          <w:sz w:val="28"/>
          <w:szCs w:val="28"/>
        </w:rPr>
        <w:t>СГВК „Перемога“</w:t>
      </w:r>
      <w:r w:rsidR="00D12814" w:rsidRPr="00F729E6">
        <w:rPr>
          <w:rFonts w:ascii="Times New Roman" w:hAnsi="Times New Roman"/>
          <w:sz w:val="28"/>
          <w:szCs w:val="28"/>
        </w:rPr>
        <w:t xml:space="preserve">. </w:t>
      </w:r>
      <w:r w:rsidR="00967523" w:rsidRPr="00F729E6">
        <w:rPr>
          <w:rFonts w:ascii="Times New Roman" w:hAnsi="Times New Roman"/>
          <w:sz w:val="28"/>
          <w:szCs w:val="28"/>
        </w:rPr>
        <w:t>Підставою для проведення вказаної реєстр</w:t>
      </w:r>
      <w:r w:rsidR="00D12814" w:rsidRPr="00F729E6">
        <w:rPr>
          <w:rFonts w:ascii="Times New Roman" w:hAnsi="Times New Roman"/>
          <w:sz w:val="28"/>
          <w:szCs w:val="28"/>
        </w:rPr>
        <w:t xml:space="preserve">аційної дії став державний акт </w:t>
      </w:r>
      <w:r w:rsidR="00967523" w:rsidRPr="00F729E6">
        <w:rPr>
          <w:rFonts w:ascii="Times New Roman" w:hAnsi="Times New Roman"/>
          <w:sz w:val="28"/>
          <w:szCs w:val="28"/>
        </w:rPr>
        <w:t xml:space="preserve">на право колективної власності на землю серії КВ, виданий </w:t>
      </w:r>
      <w:r w:rsidR="00D12814" w:rsidRPr="00F729E6">
        <w:rPr>
          <w:rFonts w:ascii="Times New Roman" w:hAnsi="Times New Roman"/>
          <w:sz w:val="28"/>
          <w:szCs w:val="28"/>
        </w:rPr>
        <w:t xml:space="preserve">27 травня 1996 року Дослідному </w:t>
      </w:r>
      <w:r w:rsidR="00967523" w:rsidRPr="00F729E6">
        <w:rPr>
          <w:rFonts w:ascii="Times New Roman" w:hAnsi="Times New Roman"/>
          <w:sz w:val="28"/>
          <w:szCs w:val="28"/>
        </w:rPr>
        <w:t xml:space="preserve">господарству </w:t>
      </w:r>
      <w:r w:rsidR="00D12814" w:rsidRPr="00F729E6">
        <w:rPr>
          <w:rFonts w:ascii="Times New Roman" w:hAnsi="Times New Roman"/>
          <w:sz w:val="28"/>
          <w:szCs w:val="28"/>
        </w:rPr>
        <w:t xml:space="preserve">,,Перемога“, </w:t>
      </w:r>
      <w:r w:rsidR="00967523" w:rsidRPr="00F729E6">
        <w:rPr>
          <w:rFonts w:ascii="Times New Roman" w:hAnsi="Times New Roman"/>
          <w:sz w:val="28"/>
          <w:szCs w:val="28"/>
        </w:rPr>
        <w:t xml:space="preserve">на земельну ділянку площею 2543,5 га. </w:t>
      </w:r>
    </w:p>
    <w:p w14:paraId="6EB1FC16" w14:textId="13963D99" w:rsidR="00967523" w:rsidRPr="00F729E6" w:rsidRDefault="00967523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Іванківськ</w:t>
      </w:r>
      <w:r w:rsidR="00A8787B" w:rsidRPr="00F729E6">
        <w:rPr>
          <w:rFonts w:ascii="Times New Roman" w:hAnsi="Times New Roman"/>
          <w:sz w:val="28"/>
          <w:szCs w:val="28"/>
        </w:rPr>
        <w:t>ий районний суд</w:t>
      </w:r>
      <w:r w:rsidR="00D12814" w:rsidRPr="00F729E6">
        <w:rPr>
          <w:rFonts w:ascii="Times New Roman" w:hAnsi="Times New Roman"/>
          <w:sz w:val="28"/>
          <w:szCs w:val="28"/>
        </w:rPr>
        <w:t xml:space="preserve"> Київської області </w:t>
      </w:r>
      <w:r w:rsidR="00A8787B" w:rsidRPr="00F729E6">
        <w:rPr>
          <w:rFonts w:ascii="Times New Roman" w:hAnsi="Times New Roman"/>
          <w:sz w:val="28"/>
          <w:szCs w:val="28"/>
        </w:rPr>
        <w:t xml:space="preserve">рішенням </w:t>
      </w:r>
      <w:r w:rsidR="00D12814" w:rsidRPr="00F729E6">
        <w:rPr>
          <w:rFonts w:ascii="Times New Roman" w:hAnsi="Times New Roman"/>
          <w:sz w:val="28"/>
          <w:szCs w:val="28"/>
        </w:rPr>
        <w:t>від 10 квітня</w:t>
      </w:r>
      <w:r w:rsidR="00F729E6">
        <w:rPr>
          <w:rFonts w:ascii="Times New Roman" w:hAnsi="Times New Roman"/>
          <w:sz w:val="28"/>
          <w:szCs w:val="28"/>
        </w:rPr>
        <w:br/>
      </w:r>
      <w:r w:rsidRPr="00F729E6">
        <w:rPr>
          <w:rFonts w:ascii="Times New Roman" w:hAnsi="Times New Roman"/>
          <w:sz w:val="28"/>
          <w:szCs w:val="28"/>
        </w:rPr>
        <w:t>2024 року у задоволенні позову відмов</w:t>
      </w:r>
      <w:r w:rsidR="00A8787B" w:rsidRPr="00F729E6">
        <w:rPr>
          <w:rFonts w:ascii="Times New Roman" w:hAnsi="Times New Roman"/>
          <w:sz w:val="28"/>
          <w:szCs w:val="28"/>
        </w:rPr>
        <w:t>ив</w:t>
      </w:r>
      <w:r w:rsidRPr="00F729E6">
        <w:rPr>
          <w:rFonts w:ascii="Times New Roman" w:hAnsi="Times New Roman"/>
          <w:sz w:val="28"/>
          <w:szCs w:val="28"/>
        </w:rPr>
        <w:t xml:space="preserve"> повністю. </w:t>
      </w:r>
    </w:p>
    <w:p w14:paraId="1F8233F8" w14:textId="7177B9E2" w:rsidR="002440B8" w:rsidRPr="00F729E6" w:rsidRDefault="00967523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 xml:space="preserve">Київський апеляційний суд постановою від </w:t>
      </w:r>
      <w:r w:rsidR="00D12814" w:rsidRPr="00F729E6">
        <w:rPr>
          <w:rFonts w:ascii="Times New Roman" w:hAnsi="Times New Roman"/>
          <w:sz w:val="28"/>
          <w:szCs w:val="28"/>
        </w:rPr>
        <w:t xml:space="preserve">18 грудня 2024 року апеляційну </w:t>
      </w:r>
      <w:r w:rsidR="00A8787B" w:rsidRPr="00F729E6">
        <w:rPr>
          <w:rFonts w:ascii="Times New Roman" w:hAnsi="Times New Roman"/>
          <w:sz w:val="28"/>
          <w:szCs w:val="28"/>
        </w:rPr>
        <w:t>скаргу к</w:t>
      </w:r>
      <w:r w:rsidRPr="00F729E6">
        <w:rPr>
          <w:rFonts w:ascii="Times New Roman" w:hAnsi="Times New Roman"/>
          <w:sz w:val="28"/>
          <w:szCs w:val="28"/>
        </w:rPr>
        <w:t>ерівника Київської обласної прокурату</w:t>
      </w:r>
      <w:r w:rsidR="00D12814" w:rsidRPr="00F729E6">
        <w:rPr>
          <w:rFonts w:ascii="Times New Roman" w:hAnsi="Times New Roman"/>
          <w:sz w:val="28"/>
          <w:szCs w:val="28"/>
        </w:rPr>
        <w:t xml:space="preserve">ри задовольнив, а рішення суду </w:t>
      </w:r>
      <w:r w:rsidRPr="00F729E6">
        <w:rPr>
          <w:rFonts w:ascii="Times New Roman" w:hAnsi="Times New Roman"/>
          <w:sz w:val="28"/>
          <w:szCs w:val="28"/>
        </w:rPr>
        <w:t xml:space="preserve">першої інстанції </w:t>
      </w:r>
      <w:r w:rsidR="002440B8" w:rsidRPr="00F729E6">
        <w:rPr>
          <w:rFonts w:ascii="Times New Roman" w:hAnsi="Times New Roman"/>
          <w:sz w:val="28"/>
          <w:szCs w:val="28"/>
        </w:rPr>
        <w:t xml:space="preserve">– скасував. </w:t>
      </w:r>
      <w:r w:rsidR="00E44F3D" w:rsidRPr="00F729E6">
        <w:rPr>
          <w:rFonts w:ascii="Times New Roman" w:hAnsi="Times New Roman"/>
          <w:sz w:val="28"/>
          <w:szCs w:val="28"/>
        </w:rPr>
        <w:t>А</w:t>
      </w:r>
      <w:r w:rsidR="002440B8" w:rsidRPr="00F729E6">
        <w:rPr>
          <w:rFonts w:ascii="Times New Roman" w:hAnsi="Times New Roman"/>
          <w:sz w:val="28"/>
          <w:szCs w:val="28"/>
        </w:rPr>
        <w:t xml:space="preserve">пеляційний суд зазначив, що реєстрація права приватної власності на земельну </w:t>
      </w:r>
      <w:r w:rsidR="00A8787B" w:rsidRPr="00F729E6">
        <w:rPr>
          <w:rFonts w:ascii="Times New Roman" w:hAnsi="Times New Roman"/>
          <w:sz w:val="28"/>
          <w:szCs w:val="28"/>
        </w:rPr>
        <w:t>ділянку за СГВК</w:t>
      </w:r>
      <w:r w:rsidR="00F729E6">
        <w:rPr>
          <w:rFonts w:ascii="Times New Roman" w:hAnsi="Times New Roman"/>
          <w:sz w:val="28"/>
          <w:szCs w:val="28"/>
        </w:rPr>
        <w:t xml:space="preserve"> </w:t>
      </w:r>
      <w:r w:rsidR="002440B8" w:rsidRPr="00F729E6">
        <w:rPr>
          <w:rFonts w:ascii="Times New Roman" w:hAnsi="Times New Roman"/>
          <w:sz w:val="28"/>
          <w:szCs w:val="28"/>
        </w:rPr>
        <w:t xml:space="preserve">,,Перемога“ є </w:t>
      </w:r>
      <w:r w:rsidR="00A8787B" w:rsidRPr="00F729E6">
        <w:rPr>
          <w:rFonts w:ascii="Times New Roman" w:hAnsi="Times New Roman"/>
          <w:sz w:val="28"/>
          <w:szCs w:val="28"/>
        </w:rPr>
        <w:t>незаконною; с</w:t>
      </w:r>
      <w:r w:rsidR="002440B8" w:rsidRPr="00F729E6">
        <w:rPr>
          <w:rFonts w:ascii="Times New Roman" w:hAnsi="Times New Roman"/>
          <w:sz w:val="28"/>
          <w:szCs w:val="28"/>
        </w:rPr>
        <w:t>амовільне збільшення земельної ділянки за рахунок державних земель є суттєвим порушенням права д</w:t>
      </w:r>
      <w:r w:rsidR="00A8787B" w:rsidRPr="00F729E6">
        <w:rPr>
          <w:rFonts w:ascii="Times New Roman" w:hAnsi="Times New Roman"/>
          <w:sz w:val="28"/>
          <w:szCs w:val="28"/>
        </w:rPr>
        <w:t>ержавної власності;</w:t>
      </w:r>
      <w:r w:rsidR="002440B8" w:rsidRPr="00F729E6">
        <w:rPr>
          <w:rFonts w:ascii="Times New Roman" w:hAnsi="Times New Roman"/>
          <w:sz w:val="28"/>
          <w:szCs w:val="28"/>
        </w:rPr>
        <w:t xml:space="preserve"> набута земельна ділянка підлягає витребуванню з чужого незаконного володіння на користь держави в особі Іванківської селищної ради. </w:t>
      </w:r>
    </w:p>
    <w:p w14:paraId="03BC29CE" w14:textId="6B705F19" w:rsidR="001C022A" w:rsidRPr="00F729E6" w:rsidRDefault="00A8787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У</w:t>
      </w:r>
      <w:r w:rsidR="002440B8" w:rsidRPr="00F729E6">
        <w:rPr>
          <w:rFonts w:ascii="Times New Roman" w:hAnsi="Times New Roman"/>
          <w:sz w:val="28"/>
          <w:szCs w:val="28"/>
        </w:rPr>
        <w:t>казане рі</w:t>
      </w:r>
      <w:r w:rsidRPr="00F729E6">
        <w:rPr>
          <w:rFonts w:ascii="Times New Roman" w:hAnsi="Times New Roman"/>
          <w:sz w:val="28"/>
          <w:szCs w:val="28"/>
        </w:rPr>
        <w:t>шення суду апеляційної інстанції</w:t>
      </w:r>
      <w:r w:rsidR="002440B8" w:rsidRPr="00F729E6">
        <w:rPr>
          <w:rFonts w:ascii="Times New Roman" w:hAnsi="Times New Roman"/>
          <w:sz w:val="28"/>
          <w:szCs w:val="28"/>
        </w:rPr>
        <w:t xml:space="preserve"> Семенко Б.М. оскаржив до суду касаційної інстанції. Верховний Суд у складі колегії суддів Першої судової палати Касаційного цивільного суду постановою від 7 травня 2025</w:t>
      </w:r>
      <w:r w:rsidR="00F729E6">
        <w:rPr>
          <w:rFonts w:ascii="Times New Roman" w:hAnsi="Times New Roman"/>
          <w:sz w:val="28"/>
          <w:szCs w:val="28"/>
        </w:rPr>
        <w:t xml:space="preserve"> </w:t>
      </w:r>
      <w:r w:rsidR="002440B8" w:rsidRPr="00F729E6">
        <w:rPr>
          <w:rFonts w:ascii="Times New Roman" w:hAnsi="Times New Roman"/>
          <w:sz w:val="28"/>
          <w:szCs w:val="28"/>
        </w:rPr>
        <w:t>року касаційну с</w:t>
      </w:r>
      <w:r w:rsidR="008F1BD0" w:rsidRPr="00F729E6">
        <w:rPr>
          <w:rFonts w:ascii="Times New Roman" w:hAnsi="Times New Roman"/>
          <w:sz w:val="28"/>
          <w:szCs w:val="28"/>
        </w:rPr>
        <w:t>каргу залишив без задоволення, п</w:t>
      </w:r>
      <w:r w:rsidR="002440B8" w:rsidRPr="00F729E6">
        <w:rPr>
          <w:rFonts w:ascii="Times New Roman" w:hAnsi="Times New Roman"/>
          <w:sz w:val="28"/>
          <w:szCs w:val="28"/>
        </w:rPr>
        <w:t xml:space="preserve">останову Київського апеляційного суду від 18 грудня 2024 року </w:t>
      </w:r>
      <w:r w:rsidR="008F1BD0" w:rsidRPr="00F729E6">
        <w:rPr>
          <w:rFonts w:ascii="Times New Roman" w:hAnsi="Times New Roman"/>
          <w:sz w:val="28"/>
          <w:szCs w:val="28"/>
        </w:rPr>
        <w:t>–</w:t>
      </w:r>
      <w:r w:rsidR="002440B8" w:rsidRPr="00F729E6">
        <w:rPr>
          <w:rFonts w:ascii="Times New Roman" w:hAnsi="Times New Roman"/>
          <w:sz w:val="28"/>
          <w:szCs w:val="28"/>
        </w:rPr>
        <w:t xml:space="preserve"> без змін.</w:t>
      </w:r>
    </w:p>
    <w:p w14:paraId="376224BC" w14:textId="78F7B2C6" w:rsidR="005F3536" w:rsidRPr="00F729E6" w:rsidRDefault="00732B95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Автор клопотання вважає, що</w:t>
      </w:r>
      <w:r w:rsidR="00795CBA" w:rsidRPr="00F729E6">
        <w:rPr>
          <w:rFonts w:ascii="Times New Roman" w:hAnsi="Times New Roman"/>
          <w:sz w:val="28"/>
          <w:szCs w:val="28"/>
        </w:rPr>
        <w:t xml:space="preserve"> пункт 21 розділу X „Перехідні положення“ Кодексу є неконституційним, оскільки не відповідає критерію якості закону т</w:t>
      </w:r>
      <w:r w:rsidR="008F1BD0" w:rsidRPr="00F729E6">
        <w:rPr>
          <w:rFonts w:ascii="Times New Roman" w:hAnsi="Times New Roman"/>
          <w:sz w:val="28"/>
          <w:szCs w:val="28"/>
        </w:rPr>
        <w:t>а є таким</w:t>
      </w:r>
      <w:r w:rsidR="00795CBA" w:rsidRPr="00F729E6">
        <w:rPr>
          <w:rFonts w:ascii="Times New Roman" w:hAnsi="Times New Roman"/>
          <w:sz w:val="28"/>
          <w:szCs w:val="28"/>
        </w:rPr>
        <w:t xml:space="preserve">, що порушує принцип юридичної визначеності і передбачуваності закону. Також </w:t>
      </w:r>
      <w:r w:rsidR="008F1BD0" w:rsidRPr="00F729E6">
        <w:rPr>
          <w:rFonts w:ascii="Times New Roman" w:hAnsi="Times New Roman"/>
          <w:sz w:val="28"/>
          <w:szCs w:val="28"/>
        </w:rPr>
        <w:t xml:space="preserve">Семенко Б.М. </w:t>
      </w:r>
      <w:r w:rsidR="00795CBA" w:rsidRPr="00F729E6">
        <w:rPr>
          <w:rFonts w:ascii="Times New Roman" w:hAnsi="Times New Roman"/>
          <w:sz w:val="28"/>
          <w:szCs w:val="28"/>
        </w:rPr>
        <w:t xml:space="preserve">твердить, що суди у його справі застосували положення законів у спосіб, що не передбачений Конституцією України, тим самим поширили на </w:t>
      </w:r>
      <w:r w:rsidR="008F1BD0" w:rsidRPr="00F729E6">
        <w:rPr>
          <w:rFonts w:ascii="Times New Roman" w:hAnsi="Times New Roman"/>
          <w:sz w:val="28"/>
          <w:szCs w:val="28"/>
        </w:rPr>
        <w:t>нього</w:t>
      </w:r>
      <w:r w:rsidR="00795CBA" w:rsidRPr="00F729E6">
        <w:rPr>
          <w:rFonts w:ascii="Times New Roman" w:hAnsi="Times New Roman"/>
          <w:sz w:val="28"/>
          <w:szCs w:val="28"/>
        </w:rPr>
        <w:t xml:space="preserve"> обов’язки, які не визначені </w:t>
      </w:r>
      <w:r w:rsidR="008F1BD0" w:rsidRPr="00F729E6">
        <w:rPr>
          <w:rFonts w:ascii="Times New Roman" w:hAnsi="Times New Roman"/>
          <w:sz w:val="28"/>
          <w:szCs w:val="28"/>
        </w:rPr>
        <w:t>Конституцією У</w:t>
      </w:r>
      <w:r w:rsidR="00795CBA" w:rsidRPr="00F729E6">
        <w:rPr>
          <w:rFonts w:ascii="Times New Roman" w:hAnsi="Times New Roman"/>
          <w:sz w:val="28"/>
          <w:szCs w:val="28"/>
        </w:rPr>
        <w:t xml:space="preserve">країни та жодним </w:t>
      </w:r>
      <w:r w:rsidR="00795CBA" w:rsidRPr="00F729E6">
        <w:rPr>
          <w:rFonts w:ascii="Times New Roman" w:hAnsi="Times New Roman"/>
          <w:sz w:val="28"/>
          <w:szCs w:val="28"/>
        </w:rPr>
        <w:lastRenderedPageBreak/>
        <w:t>нормативним актом, що є безпосереднім порушенням статті 57 Конституції України.</w:t>
      </w:r>
    </w:p>
    <w:p w14:paraId="6E2580D7" w14:textId="45FDB45B" w:rsidR="001A3BD0" w:rsidRPr="00F729E6" w:rsidRDefault="00796B42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 xml:space="preserve">На підтвердження своєї позиції </w:t>
      </w:r>
      <w:r w:rsidR="001A3BD0" w:rsidRPr="00F729E6">
        <w:rPr>
          <w:rFonts w:ascii="Times New Roman" w:hAnsi="Times New Roman"/>
          <w:sz w:val="28"/>
          <w:szCs w:val="28"/>
        </w:rPr>
        <w:t xml:space="preserve">Семенко Б.М. </w:t>
      </w:r>
      <w:r w:rsidRPr="00F729E6">
        <w:rPr>
          <w:rFonts w:ascii="Times New Roman" w:hAnsi="Times New Roman"/>
          <w:sz w:val="28"/>
          <w:szCs w:val="28"/>
        </w:rPr>
        <w:t xml:space="preserve">посилається на </w:t>
      </w:r>
      <w:r w:rsidR="0012719D" w:rsidRPr="00F729E6">
        <w:rPr>
          <w:rFonts w:ascii="Times New Roman" w:hAnsi="Times New Roman"/>
          <w:sz w:val="28"/>
          <w:szCs w:val="28"/>
        </w:rPr>
        <w:t>окремі положення Конституції</w:t>
      </w:r>
      <w:r w:rsidR="00841377" w:rsidRPr="00F729E6">
        <w:rPr>
          <w:rFonts w:ascii="Times New Roman" w:hAnsi="Times New Roman"/>
          <w:sz w:val="28"/>
          <w:szCs w:val="28"/>
        </w:rPr>
        <w:t xml:space="preserve"> України, </w:t>
      </w:r>
      <w:r w:rsidR="001A3BD0" w:rsidRPr="00F729E6">
        <w:rPr>
          <w:rFonts w:ascii="Times New Roman" w:hAnsi="Times New Roman"/>
          <w:sz w:val="28"/>
          <w:szCs w:val="28"/>
        </w:rPr>
        <w:t>Кодексу, Ци</w:t>
      </w:r>
      <w:r w:rsidR="008F1BD0" w:rsidRPr="00F729E6">
        <w:rPr>
          <w:rFonts w:ascii="Times New Roman" w:hAnsi="Times New Roman"/>
          <w:sz w:val="28"/>
          <w:szCs w:val="28"/>
        </w:rPr>
        <w:t>вільного кодексу України, з</w:t>
      </w:r>
      <w:r w:rsidR="001A3BD0" w:rsidRPr="00F729E6">
        <w:rPr>
          <w:rFonts w:ascii="Times New Roman" w:hAnsi="Times New Roman"/>
          <w:sz w:val="28"/>
          <w:szCs w:val="28"/>
        </w:rPr>
        <w:t>акони України, Доповідь про правовладдя Європейської Комісії „За демократію через право“ (Венеційська Комісія), ухвалену на її 86-му пленарному засіданні</w:t>
      </w:r>
      <w:r w:rsidR="00F729E6">
        <w:rPr>
          <w:rFonts w:ascii="Times New Roman" w:hAnsi="Times New Roman"/>
          <w:sz w:val="28"/>
          <w:szCs w:val="28"/>
        </w:rPr>
        <w:br/>
      </w:r>
      <w:r w:rsidR="001A3BD0" w:rsidRPr="00F729E6">
        <w:rPr>
          <w:rFonts w:ascii="Times New Roman" w:hAnsi="Times New Roman"/>
          <w:sz w:val="28"/>
          <w:szCs w:val="28"/>
        </w:rPr>
        <w:t xml:space="preserve">25–26 березня 2011 року [CDL-AD(2011)003rev], рішення Конституційного Суду України, а також на судові рішення у його справі. </w:t>
      </w:r>
    </w:p>
    <w:p w14:paraId="6897ABAD" w14:textId="77777777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DA1FDE4" w14:textId="77777777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bCs/>
          <w:sz w:val="28"/>
          <w:szCs w:val="28"/>
          <w:lang w:eastAsia="ru-RU"/>
        </w:rPr>
        <w:t xml:space="preserve">3. Розв’язуючи </w:t>
      </w:r>
      <w:r w:rsidRPr="00F729E6">
        <w:rPr>
          <w:rFonts w:ascii="Times New Roman" w:hAnsi="Times New Roman"/>
          <w:bCs/>
          <w:sz w:val="28"/>
          <w:szCs w:val="28"/>
        </w:rPr>
        <w:t xml:space="preserve">питання про відкриття конституційного провадження у справі, </w:t>
      </w:r>
      <w:r w:rsidRPr="00F729E6">
        <w:rPr>
          <w:rFonts w:ascii="Times New Roman" w:hAnsi="Times New Roman"/>
          <w:sz w:val="28"/>
          <w:szCs w:val="28"/>
        </w:rPr>
        <w:t>Друга колегія суддів Першого сенату Конституційного Суду України виходить із такого.</w:t>
      </w:r>
    </w:p>
    <w:p w14:paraId="40156423" w14:textId="7211FB71" w:rsidR="00B51C78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</w:t>
      </w:r>
      <w:r w:rsidR="00EA4CCB" w:rsidRPr="00F729E6">
        <w:rPr>
          <w:rFonts w:ascii="Times New Roman" w:hAnsi="Times New Roman"/>
          <w:sz w:val="28"/>
          <w:szCs w:val="28"/>
        </w:rPr>
        <w:t>оложень</w:t>
      </w:r>
      <w:r w:rsidRPr="00F729E6">
        <w:rPr>
          <w:rFonts w:ascii="Times New Roman" w:hAnsi="Times New Roman"/>
          <w:sz w:val="28"/>
          <w:szCs w:val="28"/>
        </w:rPr>
        <w:t>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</w:t>
      </w:r>
      <w:r w:rsidR="00EA4CCB" w:rsidRPr="00F729E6">
        <w:rPr>
          <w:rFonts w:ascii="Times New Roman" w:hAnsi="Times New Roman"/>
          <w:sz w:val="28"/>
          <w:szCs w:val="28"/>
        </w:rPr>
        <w:t>оложень</w:t>
      </w:r>
      <w:r w:rsidRPr="00F729E6">
        <w:rPr>
          <w:rFonts w:ascii="Times New Roman" w:hAnsi="Times New Roman"/>
          <w:sz w:val="28"/>
          <w:szCs w:val="28"/>
        </w:rPr>
        <w:t xml:space="preserve">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</w:t>
      </w:r>
      <w:bookmarkStart w:id="1" w:name="_Hlk101398318"/>
      <w:r w:rsidRPr="00F729E6">
        <w:rPr>
          <w:rFonts w:ascii="Times New Roman" w:hAnsi="Times New Roman"/>
          <w:sz w:val="28"/>
          <w:szCs w:val="28"/>
        </w:rPr>
        <w:t xml:space="preserve">конституційна скарга </w:t>
      </w:r>
      <w:r w:rsidR="00B110D8" w:rsidRPr="00F729E6">
        <w:rPr>
          <w:rFonts w:ascii="Times New Roman" w:hAnsi="Times New Roman"/>
          <w:sz w:val="28"/>
          <w:szCs w:val="28"/>
        </w:rPr>
        <w:t>є</w:t>
      </w:r>
      <w:r w:rsidRPr="00F729E6">
        <w:rPr>
          <w:rFonts w:ascii="Times New Roman" w:hAnsi="Times New Roman"/>
          <w:sz w:val="28"/>
          <w:szCs w:val="28"/>
        </w:rPr>
        <w:t xml:space="preserve"> прийнятною за умов її відповідності вимогам, </w:t>
      </w:r>
      <w:r w:rsidR="00B110D8" w:rsidRPr="00F729E6">
        <w:rPr>
          <w:rFonts w:ascii="Times New Roman" w:hAnsi="Times New Roman"/>
          <w:sz w:val="28"/>
          <w:szCs w:val="28"/>
        </w:rPr>
        <w:t>визначеним</w:t>
      </w:r>
      <w:r w:rsidRPr="00F729E6">
        <w:rPr>
          <w:rFonts w:ascii="Times New Roman" w:hAnsi="Times New Roman"/>
          <w:sz w:val="28"/>
          <w:szCs w:val="28"/>
        </w:rPr>
        <w:t xml:space="preserve"> статтями 55, 56 цього закону</w:t>
      </w:r>
      <w:bookmarkEnd w:id="1"/>
      <w:r w:rsidRPr="00F729E6">
        <w:rPr>
          <w:rFonts w:ascii="Times New Roman" w:hAnsi="Times New Roman"/>
          <w:sz w:val="28"/>
          <w:szCs w:val="28"/>
        </w:rPr>
        <w:t xml:space="preserve"> (абзац перший частини першої статті 77).</w:t>
      </w:r>
    </w:p>
    <w:p w14:paraId="36E81FFA" w14:textId="42532B65" w:rsidR="001A3BD0" w:rsidRPr="00F729E6" w:rsidRDefault="001A3BD0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7DF8FC" w14:textId="0465C294" w:rsidR="009B71C9" w:rsidRPr="00F729E6" w:rsidRDefault="000E6B3C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 xml:space="preserve">3.1. </w:t>
      </w:r>
      <w:r w:rsidR="004651F2" w:rsidRPr="00F729E6">
        <w:rPr>
          <w:rFonts w:ascii="Times New Roman" w:eastAsia="Times New Roman" w:hAnsi="Times New Roman"/>
          <w:sz w:val="28"/>
          <w:szCs w:val="28"/>
          <w:lang w:eastAsia="uk-UA"/>
        </w:rPr>
        <w:t xml:space="preserve">Аналіз змісту конституційної скарги дає підстави для висновку, що, твердячи про невідповідність Конституції України пункту </w:t>
      </w:r>
      <w:r w:rsidR="001A3BD0" w:rsidRPr="00F729E6">
        <w:rPr>
          <w:rFonts w:ascii="Times New Roman" w:hAnsi="Times New Roman"/>
          <w:sz w:val="28"/>
          <w:szCs w:val="28"/>
        </w:rPr>
        <w:t xml:space="preserve">21 </w:t>
      </w:r>
      <w:r w:rsidR="008F1BD0" w:rsidRPr="00F729E6">
        <w:rPr>
          <w:rFonts w:ascii="Times New Roman" w:hAnsi="Times New Roman"/>
          <w:sz w:val="28"/>
          <w:szCs w:val="28"/>
        </w:rPr>
        <w:t>р</w:t>
      </w:r>
      <w:r w:rsidR="001A3BD0" w:rsidRPr="00F729E6">
        <w:rPr>
          <w:rFonts w:ascii="Times New Roman" w:hAnsi="Times New Roman"/>
          <w:sz w:val="28"/>
          <w:szCs w:val="28"/>
        </w:rPr>
        <w:t xml:space="preserve">озділу Х </w:t>
      </w:r>
      <w:r w:rsidR="004651F2" w:rsidRPr="00F729E6">
        <w:rPr>
          <w:rFonts w:ascii="Times New Roman" w:hAnsi="Times New Roman"/>
          <w:sz w:val="28"/>
          <w:szCs w:val="28"/>
        </w:rPr>
        <w:t>„</w:t>
      </w:r>
      <w:r w:rsidR="001A3BD0" w:rsidRPr="00F729E6">
        <w:rPr>
          <w:rFonts w:ascii="Times New Roman" w:hAnsi="Times New Roman"/>
          <w:sz w:val="28"/>
          <w:szCs w:val="28"/>
        </w:rPr>
        <w:t>Перехідні положення</w:t>
      </w:r>
      <w:r w:rsidR="004651F2" w:rsidRPr="00F729E6">
        <w:rPr>
          <w:rFonts w:ascii="Times New Roman" w:hAnsi="Times New Roman"/>
          <w:sz w:val="28"/>
          <w:szCs w:val="28"/>
        </w:rPr>
        <w:t>“</w:t>
      </w:r>
      <w:r w:rsidR="001A3BD0" w:rsidRPr="00F729E6">
        <w:rPr>
          <w:rFonts w:ascii="Times New Roman" w:hAnsi="Times New Roman"/>
          <w:sz w:val="28"/>
          <w:szCs w:val="28"/>
        </w:rPr>
        <w:t xml:space="preserve"> Кодексу</w:t>
      </w:r>
      <w:r w:rsidR="008F1BD0" w:rsidRPr="00F729E6">
        <w:rPr>
          <w:rFonts w:ascii="Times New Roman" w:hAnsi="Times New Roman"/>
          <w:sz w:val="28"/>
          <w:szCs w:val="28"/>
        </w:rPr>
        <w:t>, Семенко Б.М.</w:t>
      </w:r>
      <w:r w:rsidR="001A3BD0" w:rsidRPr="00F729E6">
        <w:rPr>
          <w:rFonts w:ascii="Times New Roman" w:hAnsi="Times New Roman"/>
          <w:sz w:val="28"/>
          <w:szCs w:val="28"/>
        </w:rPr>
        <w:t xml:space="preserve"> наводить особисте бачення процесу формування колективних сіль</w:t>
      </w:r>
      <w:r w:rsidRPr="00F729E6">
        <w:rPr>
          <w:rFonts w:ascii="Times New Roman" w:hAnsi="Times New Roman"/>
          <w:sz w:val="28"/>
          <w:szCs w:val="28"/>
        </w:rPr>
        <w:t>ськогосподарських підприємств в Україні</w:t>
      </w:r>
      <w:r w:rsidR="00C46876" w:rsidRPr="00F729E6">
        <w:rPr>
          <w:rFonts w:ascii="Times New Roman" w:hAnsi="Times New Roman"/>
          <w:sz w:val="28"/>
          <w:szCs w:val="28"/>
        </w:rPr>
        <w:t xml:space="preserve"> </w:t>
      </w:r>
      <w:r w:rsidRPr="00F729E6">
        <w:rPr>
          <w:rFonts w:ascii="Times New Roman" w:hAnsi="Times New Roman"/>
          <w:sz w:val="28"/>
          <w:szCs w:val="28"/>
        </w:rPr>
        <w:t xml:space="preserve">та </w:t>
      </w:r>
      <w:r w:rsidR="004651F2" w:rsidRPr="00F729E6">
        <w:rPr>
          <w:rFonts w:ascii="Times New Roman" w:hAnsi="Times New Roman"/>
          <w:sz w:val="28"/>
          <w:szCs w:val="28"/>
        </w:rPr>
        <w:t>в</w:t>
      </w:r>
      <w:r w:rsidR="00C46876" w:rsidRPr="00F729E6">
        <w:rPr>
          <w:rFonts w:ascii="Times New Roman" w:hAnsi="Times New Roman"/>
          <w:sz w:val="28"/>
          <w:szCs w:val="28"/>
        </w:rPr>
        <w:t>важає</w:t>
      </w:r>
      <w:r w:rsidR="004651F2" w:rsidRPr="00F729E6">
        <w:rPr>
          <w:rFonts w:ascii="Times New Roman" w:hAnsi="Times New Roman"/>
          <w:sz w:val="28"/>
          <w:szCs w:val="28"/>
        </w:rPr>
        <w:t xml:space="preserve">, що оспорювані ним </w:t>
      </w:r>
      <w:r w:rsidR="00C46876" w:rsidRPr="00F729E6">
        <w:rPr>
          <w:rFonts w:ascii="Times New Roman" w:hAnsi="Times New Roman"/>
          <w:sz w:val="28"/>
          <w:szCs w:val="28"/>
        </w:rPr>
        <w:t xml:space="preserve">положення </w:t>
      </w:r>
      <w:r w:rsidR="00C26CBA" w:rsidRPr="00F729E6">
        <w:rPr>
          <w:rFonts w:ascii="Times New Roman" w:hAnsi="Times New Roman"/>
          <w:sz w:val="28"/>
          <w:szCs w:val="28"/>
        </w:rPr>
        <w:t xml:space="preserve">Кодексу </w:t>
      </w:r>
      <w:r w:rsidR="001A3BD0" w:rsidRPr="00F729E6">
        <w:rPr>
          <w:rFonts w:ascii="Times New Roman" w:hAnsi="Times New Roman"/>
          <w:sz w:val="28"/>
          <w:szCs w:val="28"/>
        </w:rPr>
        <w:t>суперечать статті 150</w:t>
      </w:r>
      <w:r w:rsidR="004651F2" w:rsidRPr="00F729E6">
        <w:rPr>
          <w:rFonts w:ascii="Times New Roman" w:hAnsi="Times New Roman"/>
          <w:sz w:val="28"/>
          <w:szCs w:val="28"/>
        </w:rPr>
        <w:t xml:space="preserve"> </w:t>
      </w:r>
      <w:r w:rsidR="004651F2" w:rsidRPr="00F729E6">
        <w:rPr>
          <w:rFonts w:ascii="Times New Roman" w:hAnsi="Times New Roman"/>
          <w:sz w:val="28"/>
          <w:szCs w:val="28"/>
        </w:rPr>
        <w:lastRenderedPageBreak/>
        <w:t>Кодексу</w:t>
      </w:r>
      <w:r w:rsidR="001A3BD0" w:rsidRPr="00F729E6">
        <w:rPr>
          <w:rFonts w:ascii="Times New Roman" w:hAnsi="Times New Roman"/>
          <w:sz w:val="28"/>
          <w:szCs w:val="28"/>
        </w:rPr>
        <w:t>.</w:t>
      </w:r>
      <w:r w:rsidR="004651F2" w:rsidRPr="00F729E6">
        <w:rPr>
          <w:rFonts w:ascii="Times New Roman" w:hAnsi="Times New Roman"/>
          <w:sz w:val="28"/>
          <w:szCs w:val="28"/>
        </w:rPr>
        <w:t xml:space="preserve"> </w:t>
      </w:r>
      <w:r w:rsidR="008F1BD0" w:rsidRPr="00F729E6">
        <w:rPr>
          <w:rFonts w:ascii="Times New Roman" w:hAnsi="Times New Roman"/>
          <w:sz w:val="28"/>
          <w:szCs w:val="28"/>
        </w:rPr>
        <w:t>Проте</w:t>
      </w:r>
      <w:r w:rsidR="00C46876" w:rsidRPr="00F729E6">
        <w:rPr>
          <w:rFonts w:ascii="Times New Roman" w:hAnsi="Times New Roman"/>
          <w:sz w:val="28"/>
          <w:szCs w:val="28"/>
        </w:rPr>
        <w:t xml:space="preserve"> </w:t>
      </w:r>
      <w:r w:rsidRPr="00F729E6">
        <w:rPr>
          <w:rFonts w:ascii="Times New Roman" w:hAnsi="Times New Roman"/>
          <w:sz w:val="28"/>
          <w:szCs w:val="28"/>
        </w:rPr>
        <w:t xml:space="preserve">доводи конституційної </w:t>
      </w:r>
      <w:r w:rsidR="00C46876" w:rsidRPr="00F729E6">
        <w:rPr>
          <w:rFonts w:ascii="Times New Roman" w:hAnsi="Times New Roman"/>
          <w:sz w:val="28"/>
          <w:szCs w:val="28"/>
        </w:rPr>
        <w:t>скарги щодо</w:t>
      </w:r>
      <w:r w:rsidR="004651F2" w:rsidRPr="00F729E6">
        <w:rPr>
          <w:rFonts w:ascii="Times New Roman" w:hAnsi="Times New Roman"/>
          <w:sz w:val="28"/>
          <w:szCs w:val="28"/>
        </w:rPr>
        <w:t xml:space="preserve"> неузгоджен</w:t>
      </w:r>
      <w:r w:rsidR="00C46876" w:rsidRPr="00F729E6">
        <w:rPr>
          <w:rFonts w:ascii="Times New Roman" w:hAnsi="Times New Roman"/>
          <w:sz w:val="28"/>
          <w:szCs w:val="28"/>
        </w:rPr>
        <w:t>ості</w:t>
      </w:r>
      <w:r w:rsidR="004651F2" w:rsidRPr="00F729E6">
        <w:rPr>
          <w:rFonts w:ascii="Times New Roman" w:hAnsi="Times New Roman"/>
          <w:sz w:val="28"/>
          <w:szCs w:val="28"/>
        </w:rPr>
        <w:t xml:space="preserve"> між собою </w:t>
      </w:r>
      <w:r w:rsidRPr="00F729E6">
        <w:rPr>
          <w:rFonts w:ascii="Times New Roman" w:hAnsi="Times New Roman"/>
          <w:sz w:val="28"/>
          <w:szCs w:val="28"/>
        </w:rPr>
        <w:t>п</w:t>
      </w:r>
      <w:r w:rsidR="00C46876" w:rsidRPr="00F729E6">
        <w:rPr>
          <w:rFonts w:ascii="Times New Roman" w:hAnsi="Times New Roman"/>
          <w:sz w:val="28"/>
          <w:szCs w:val="28"/>
        </w:rPr>
        <w:t>оложень</w:t>
      </w:r>
      <w:r w:rsidRPr="00F729E6">
        <w:rPr>
          <w:rFonts w:ascii="Times New Roman" w:hAnsi="Times New Roman"/>
          <w:sz w:val="28"/>
          <w:szCs w:val="28"/>
        </w:rPr>
        <w:t xml:space="preserve"> </w:t>
      </w:r>
      <w:r w:rsidR="00C46876" w:rsidRPr="00F729E6">
        <w:rPr>
          <w:rFonts w:ascii="Times New Roman" w:hAnsi="Times New Roman"/>
          <w:sz w:val="28"/>
          <w:szCs w:val="28"/>
        </w:rPr>
        <w:t xml:space="preserve">Кодексу </w:t>
      </w:r>
      <w:r w:rsidRPr="00F729E6">
        <w:rPr>
          <w:rFonts w:ascii="Times New Roman" w:hAnsi="Times New Roman"/>
          <w:sz w:val="28"/>
          <w:szCs w:val="28"/>
        </w:rPr>
        <w:t xml:space="preserve">не можна </w:t>
      </w:r>
      <w:r w:rsidR="004651F2" w:rsidRPr="00F729E6">
        <w:rPr>
          <w:rFonts w:ascii="Times New Roman" w:hAnsi="Times New Roman"/>
          <w:sz w:val="28"/>
          <w:szCs w:val="28"/>
        </w:rPr>
        <w:t xml:space="preserve">вважати належним </w:t>
      </w:r>
      <w:r w:rsidRPr="00F729E6">
        <w:rPr>
          <w:rFonts w:ascii="Times New Roman" w:hAnsi="Times New Roman"/>
          <w:sz w:val="28"/>
          <w:szCs w:val="28"/>
        </w:rPr>
        <w:t>обґрунтуванням</w:t>
      </w:r>
      <w:r w:rsidR="00C46876" w:rsidRPr="00F729E6">
        <w:rPr>
          <w:rFonts w:ascii="Times New Roman" w:hAnsi="Times New Roman"/>
          <w:sz w:val="28"/>
          <w:szCs w:val="28"/>
        </w:rPr>
        <w:t xml:space="preserve">, оскільки </w:t>
      </w:r>
      <w:r w:rsidR="004651F2" w:rsidRPr="00F729E6">
        <w:rPr>
          <w:rFonts w:ascii="Times New Roman" w:hAnsi="Times New Roman"/>
          <w:sz w:val="28"/>
          <w:szCs w:val="28"/>
        </w:rPr>
        <w:t xml:space="preserve">розгляд питань щодо </w:t>
      </w:r>
      <w:r w:rsidR="00C46876" w:rsidRPr="00F729E6">
        <w:rPr>
          <w:rFonts w:ascii="Times New Roman" w:hAnsi="Times New Roman"/>
          <w:sz w:val="28"/>
          <w:szCs w:val="28"/>
        </w:rPr>
        <w:t xml:space="preserve">невідповідності </w:t>
      </w:r>
      <w:r w:rsidR="004651F2" w:rsidRPr="00F729E6">
        <w:rPr>
          <w:rFonts w:ascii="Times New Roman" w:hAnsi="Times New Roman"/>
          <w:sz w:val="28"/>
          <w:szCs w:val="28"/>
        </w:rPr>
        <w:t>положень одних закон</w:t>
      </w:r>
      <w:r w:rsidR="00C46876" w:rsidRPr="00F729E6">
        <w:rPr>
          <w:rFonts w:ascii="Times New Roman" w:hAnsi="Times New Roman"/>
          <w:sz w:val="28"/>
          <w:szCs w:val="28"/>
        </w:rPr>
        <w:t>ів</w:t>
      </w:r>
      <w:r w:rsidR="004651F2" w:rsidRPr="00F729E6">
        <w:rPr>
          <w:rFonts w:ascii="Times New Roman" w:hAnsi="Times New Roman"/>
          <w:sz w:val="28"/>
          <w:szCs w:val="28"/>
        </w:rPr>
        <w:t xml:space="preserve"> положенням </w:t>
      </w:r>
      <w:r w:rsidR="00C46876" w:rsidRPr="00F729E6">
        <w:rPr>
          <w:rFonts w:ascii="Times New Roman" w:hAnsi="Times New Roman"/>
          <w:sz w:val="28"/>
          <w:szCs w:val="28"/>
        </w:rPr>
        <w:t>інших</w:t>
      </w:r>
      <w:r w:rsidRPr="00F729E6">
        <w:rPr>
          <w:rFonts w:ascii="Times New Roman" w:hAnsi="Times New Roman"/>
          <w:sz w:val="28"/>
          <w:szCs w:val="28"/>
        </w:rPr>
        <w:t xml:space="preserve"> не належить до </w:t>
      </w:r>
      <w:r w:rsidR="004651F2" w:rsidRPr="00F729E6">
        <w:rPr>
          <w:rFonts w:ascii="Times New Roman" w:hAnsi="Times New Roman"/>
          <w:sz w:val="28"/>
          <w:szCs w:val="28"/>
        </w:rPr>
        <w:t>повноважень</w:t>
      </w:r>
      <w:r w:rsidR="00C46876" w:rsidRPr="00F729E6">
        <w:rPr>
          <w:rFonts w:ascii="Times New Roman" w:hAnsi="Times New Roman"/>
          <w:sz w:val="28"/>
          <w:szCs w:val="28"/>
        </w:rPr>
        <w:t xml:space="preserve"> Конституційного Суду України.</w:t>
      </w:r>
    </w:p>
    <w:p w14:paraId="5FA6CD80" w14:textId="347A431C" w:rsidR="00B51C78" w:rsidRPr="00F729E6" w:rsidRDefault="00B51C78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D8C17C" w14:textId="3CA5973D" w:rsidR="008F1BD0" w:rsidRPr="00F729E6" w:rsidRDefault="00C46876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 xml:space="preserve">3.2. </w:t>
      </w:r>
      <w:r w:rsidR="00D17837" w:rsidRPr="00F729E6">
        <w:rPr>
          <w:rFonts w:ascii="Times New Roman" w:hAnsi="Times New Roman"/>
          <w:sz w:val="28"/>
          <w:szCs w:val="28"/>
        </w:rPr>
        <w:t>А</w:t>
      </w:r>
      <w:r w:rsidRPr="00F729E6">
        <w:rPr>
          <w:rFonts w:ascii="Times New Roman" w:hAnsi="Times New Roman"/>
          <w:sz w:val="28"/>
          <w:szCs w:val="28"/>
        </w:rPr>
        <w:t xml:space="preserve">втор клопотання </w:t>
      </w:r>
      <w:r w:rsidR="008F1BD0" w:rsidRPr="00F729E6">
        <w:rPr>
          <w:rFonts w:ascii="Times New Roman" w:hAnsi="Times New Roman"/>
          <w:sz w:val="28"/>
          <w:szCs w:val="28"/>
        </w:rPr>
        <w:t xml:space="preserve">у конституційній скарзі </w:t>
      </w:r>
      <w:r w:rsidRPr="00F729E6">
        <w:rPr>
          <w:rFonts w:ascii="Times New Roman" w:hAnsi="Times New Roman"/>
          <w:sz w:val="28"/>
          <w:szCs w:val="28"/>
        </w:rPr>
        <w:t xml:space="preserve">не навів аргументів щодо невідповідності Конституції України </w:t>
      </w:r>
      <w:r w:rsidR="008F1BD0" w:rsidRPr="00F729E6">
        <w:rPr>
          <w:rFonts w:ascii="Times New Roman" w:hAnsi="Times New Roman"/>
          <w:sz w:val="28"/>
          <w:szCs w:val="28"/>
        </w:rPr>
        <w:t>пункту 21 р</w:t>
      </w:r>
      <w:r w:rsidRPr="00F729E6">
        <w:rPr>
          <w:rFonts w:ascii="Times New Roman" w:hAnsi="Times New Roman"/>
          <w:sz w:val="28"/>
          <w:szCs w:val="28"/>
        </w:rPr>
        <w:t xml:space="preserve">озділу Х </w:t>
      </w:r>
      <w:r w:rsidR="00D17837" w:rsidRPr="00F729E6">
        <w:rPr>
          <w:rFonts w:ascii="Times New Roman" w:hAnsi="Times New Roman"/>
          <w:sz w:val="28"/>
          <w:szCs w:val="28"/>
        </w:rPr>
        <w:t>„</w:t>
      </w:r>
      <w:r w:rsidRPr="00F729E6">
        <w:rPr>
          <w:rFonts w:ascii="Times New Roman" w:hAnsi="Times New Roman"/>
          <w:sz w:val="28"/>
          <w:szCs w:val="28"/>
        </w:rPr>
        <w:t>Перехідні положення</w:t>
      </w:r>
      <w:r w:rsidR="00D17837" w:rsidRPr="00F729E6">
        <w:rPr>
          <w:rFonts w:ascii="Times New Roman" w:hAnsi="Times New Roman"/>
          <w:sz w:val="28"/>
          <w:szCs w:val="28"/>
        </w:rPr>
        <w:t xml:space="preserve">“ Кодексу, </w:t>
      </w:r>
      <w:r w:rsidR="008F1BD0" w:rsidRPr="00F729E6">
        <w:rPr>
          <w:rFonts w:ascii="Times New Roman" w:hAnsi="Times New Roman"/>
          <w:sz w:val="28"/>
          <w:szCs w:val="28"/>
        </w:rPr>
        <w:t>а</w:t>
      </w:r>
      <w:r w:rsidRPr="00F729E6">
        <w:rPr>
          <w:rFonts w:ascii="Times New Roman" w:hAnsi="Times New Roman"/>
          <w:sz w:val="28"/>
          <w:szCs w:val="28"/>
        </w:rPr>
        <w:t xml:space="preserve"> фактично </w:t>
      </w:r>
      <w:r w:rsidR="00D17837" w:rsidRPr="00F729E6">
        <w:rPr>
          <w:rFonts w:ascii="Times New Roman" w:hAnsi="Times New Roman"/>
          <w:sz w:val="28"/>
          <w:szCs w:val="28"/>
        </w:rPr>
        <w:t>висловив</w:t>
      </w:r>
      <w:r w:rsidRPr="00F729E6">
        <w:rPr>
          <w:rFonts w:ascii="Times New Roman" w:hAnsi="Times New Roman"/>
          <w:sz w:val="28"/>
          <w:szCs w:val="28"/>
        </w:rPr>
        <w:t xml:space="preserve"> </w:t>
      </w:r>
      <w:r w:rsidR="003F4654" w:rsidRPr="00F729E6">
        <w:rPr>
          <w:rFonts w:ascii="Times New Roman" w:hAnsi="Times New Roman"/>
          <w:sz w:val="28"/>
          <w:szCs w:val="28"/>
        </w:rPr>
        <w:t>н</w:t>
      </w:r>
      <w:r w:rsidR="008F1BD0" w:rsidRPr="00F729E6">
        <w:rPr>
          <w:rFonts w:ascii="Times New Roman" w:hAnsi="Times New Roman"/>
          <w:sz w:val="28"/>
          <w:szCs w:val="28"/>
        </w:rPr>
        <w:t>езгоду із судовими рішеннями у його справі</w:t>
      </w:r>
      <w:r w:rsidR="002E18DA" w:rsidRPr="00F729E6">
        <w:rPr>
          <w:rFonts w:ascii="Times New Roman" w:hAnsi="Times New Roman"/>
          <w:sz w:val="28"/>
          <w:szCs w:val="28"/>
        </w:rPr>
        <w:t>,</w:t>
      </w:r>
      <w:r w:rsidR="008F1BD0" w:rsidRPr="00F729E6">
        <w:rPr>
          <w:rFonts w:ascii="Times New Roman" w:hAnsi="Times New Roman"/>
          <w:sz w:val="28"/>
          <w:szCs w:val="28"/>
        </w:rPr>
        <w:t xml:space="preserve"> </w:t>
      </w:r>
      <w:r w:rsidRPr="00F729E6">
        <w:rPr>
          <w:rFonts w:ascii="Times New Roman" w:hAnsi="Times New Roman"/>
          <w:sz w:val="28"/>
          <w:szCs w:val="28"/>
        </w:rPr>
        <w:t xml:space="preserve">що не є </w:t>
      </w:r>
      <w:r w:rsidR="00D17837" w:rsidRPr="00F729E6">
        <w:rPr>
          <w:rFonts w:ascii="Times New Roman" w:hAnsi="Times New Roman"/>
          <w:sz w:val="28"/>
          <w:szCs w:val="28"/>
        </w:rPr>
        <w:t>обґрунтуванням</w:t>
      </w:r>
      <w:r w:rsidRPr="00F729E6">
        <w:rPr>
          <w:rFonts w:ascii="Times New Roman" w:hAnsi="Times New Roman"/>
          <w:sz w:val="28"/>
          <w:szCs w:val="28"/>
        </w:rPr>
        <w:t xml:space="preserve"> тверджень щодо неконституційності оспорюван</w:t>
      </w:r>
      <w:r w:rsidR="008F1BD0" w:rsidRPr="00F729E6">
        <w:rPr>
          <w:rFonts w:ascii="Times New Roman" w:hAnsi="Times New Roman"/>
          <w:sz w:val="28"/>
          <w:szCs w:val="28"/>
        </w:rPr>
        <w:t>их положень</w:t>
      </w:r>
      <w:r w:rsidR="00D17837" w:rsidRPr="00F729E6">
        <w:rPr>
          <w:rFonts w:ascii="Times New Roman" w:hAnsi="Times New Roman"/>
          <w:sz w:val="28"/>
          <w:szCs w:val="28"/>
        </w:rPr>
        <w:t xml:space="preserve"> Кодексу</w:t>
      </w:r>
      <w:r w:rsidRPr="00F729E6">
        <w:rPr>
          <w:rFonts w:ascii="Times New Roman" w:hAnsi="Times New Roman"/>
          <w:sz w:val="28"/>
          <w:szCs w:val="28"/>
        </w:rPr>
        <w:t xml:space="preserve"> в розумінні пункту 6 частини другої статті 55 Закону</w:t>
      </w:r>
      <w:r w:rsidR="008F1BD0" w:rsidRPr="00F729E6">
        <w:rPr>
          <w:rFonts w:ascii="Times New Roman" w:hAnsi="Times New Roman"/>
          <w:sz w:val="28"/>
          <w:szCs w:val="28"/>
        </w:rPr>
        <w:t xml:space="preserve"> України „Про Конституційний Суд України“.</w:t>
      </w:r>
    </w:p>
    <w:p w14:paraId="107BBA64" w14:textId="074A8331" w:rsidR="00814910" w:rsidRPr="00F729E6" w:rsidRDefault="00814910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>Отже, суб’єкт права на конституційну скаргу не дотримав вимог частини першої,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14:paraId="75AA5A4D" w14:textId="77777777" w:rsidR="00814910" w:rsidRPr="00F729E6" w:rsidRDefault="00814910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30C6CD" w14:textId="1FBD65B6" w:rsidR="00814910" w:rsidRPr="00F729E6" w:rsidRDefault="00814910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F729E6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Pr="00F729E6">
        <w:rPr>
          <w:rFonts w:ascii="Times New Roman" w:eastAsia="Times New Roman" w:hAnsi="Times New Roman"/>
          <w:sz w:val="28"/>
          <w:szCs w:val="28"/>
          <w:lang w:eastAsia="uk-UA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4150CAF1" w14:textId="77777777" w:rsidR="00F729E6" w:rsidRDefault="00F729E6" w:rsidP="0087608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13295D" w14:textId="2157D345" w:rsidR="00B26BCB" w:rsidRPr="00F729E6" w:rsidRDefault="00814910" w:rsidP="0087608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9E6">
        <w:rPr>
          <w:rFonts w:ascii="Times New Roman" w:hAnsi="Times New Roman"/>
          <w:b/>
          <w:sz w:val="28"/>
          <w:szCs w:val="28"/>
        </w:rPr>
        <w:t>п о с т а н о в и л а:</w:t>
      </w:r>
    </w:p>
    <w:p w14:paraId="03B8893F" w14:textId="77777777" w:rsidR="00814910" w:rsidRPr="00F729E6" w:rsidRDefault="00814910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D268770" w14:textId="2A55A7FF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9E6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="00B51C78" w:rsidRPr="00F729E6">
        <w:rPr>
          <w:rFonts w:ascii="Times New Roman" w:hAnsi="Times New Roman"/>
          <w:sz w:val="28"/>
          <w:szCs w:val="28"/>
        </w:rPr>
        <w:t xml:space="preserve">Семенка Бориса Миколайовича щодо відповідності Конституції України (конституційності) пункту 21 розділу X „Перехідні положення“ Земельного кодексу України </w:t>
      </w:r>
      <w:r w:rsidRPr="00F729E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</w:t>
      </w:r>
      <w:r w:rsidR="008D27FB" w:rsidRPr="00F729E6">
        <w:rPr>
          <w:rFonts w:ascii="Times New Roman" w:hAnsi="Times New Roman"/>
          <w:sz w:val="28"/>
          <w:szCs w:val="28"/>
        </w:rPr>
        <w:t xml:space="preserve">підставі пункту 4 статті </w:t>
      </w:r>
      <w:r w:rsidRPr="00F729E6">
        <w:rPr>
          <w:rFonts w:ascii="Times New Roman" w:hAnsi="Times New Roman"/>
          <w:sz w:val="28"/>
          <w:szCs w:val="28"/>
        </w:rPr>
        <w:t>62</w:t>
      </w:r>
      <w:r w:rsidR="00876087">
        <w:rPr>
          <w:rFonts w:ascii="Times New Roman" w:hAnsi="Times New Roman"/>
          <w:sz w:val="28"/>
          <w:szCs w:val="28"/>
        </w:rPr>
        <w:br/>
      </w:r>
      <w:r w:rsidRPr="00F729E6">
        <w:rPr>
          <w:rFonts w:ascii="Times New Roman" w:hAnsi="Times New Roman"/>
          <w:sz w:val="28"/>
          <w:szCs w:val="28"/>
        </w:rPr>
        <w:lastRenderedPageBreak/>
        <w:t>Закону України „Про Конституційний Суд</w:t>
      </w:r>
      <w:r w:rsidR="00876087">
        <w:rPr>
          <w:rFonts w:ascii="Times New Roman" w:hAnsi="Times New Roman"/>
          <w:sz w:val="28"/>
          <w:szCs w:val="28"/>
        </w:rPr>
        <w:t xml:space="preserve"> </w:t>
      </w:r>
      <w:r w:rsidRPr="00F729E6">
        <w:rPr>
          <w:rFonts w:ascii="Times New Roman" w:hAnsi="Times New Roman"/>
          <w:sz w:val="28"/>
          <w:szCs w:val="28"/>
        </w:rPr>
        <w:t xml:space="preserve">України“ – неприйнятність конституційної скарги. </w:t>
      </w:r>
    </w:p>
    <w:p w14:paraId="0A26A570" w14:textId="77777777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A573B0" w14:textId="77777777" w:rsidR="00B26BCB" w:rsidRPr="00F729E6" w:rsidRDefault="00B26BCB" w:rsidP="00876087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29E6">
        <w:rPr>
          <w:rFonts w:ascii="Times New Roman" w:hAnsi="Times New Roman"/>
          <w:sz w:val="28"/>
          <w:szCs w:val="28"/>
        </w:rPr>
        <w:t>2. Ухвала є остаточною.</w:t>
      </w:r>
    </w:p>
    <w:p w14:paraId="7153CAAD" w14:textId="77777777" w:rsidR="00B26BCB" w:rsidRPr="00F729E6" w:rsidRDefault="00B26BCB" w:rsidP="00F729E6">
      <w:pPr>
        <w:jc w:val="both"/>
        <w:rPr>
          <w:rFonts w:ascii="Times New Roman" w:hAnsi="Times New Roman"/>
          <w:sz w:val="28"/>
          <w:szCs w:val="28"/>
        </w:rPr>
      </w:pPr>
    </w:p>
    <w:p w14:paraId="36934157" w14:textId="2B5390A2" w:rsidR="00B26BCB" w:rsidRDefault="00B26BCB" w:rsidP="00F729E6">
      <w:pPr>
        <w:jc w:val="both"/>
        <w:rPr>
          <w:rFonts w:ascii="Times New Roman" w:hAnsi="Times New Roman"/>
          <w:sz w:val="28"/>
          <w:szCs w:val="28"/>
        </w:rPr>
      </w:pPr>
    </w:p>
    <w:p w14:paraId="3FE06DD8" w14:textId="77777777" w:rsidR="00F729E6" w:rsidRDefault="00F729E6" w:rsidP="00F729E6">
      <w:pPr>
        <w:jc w:val="both"/>
        <w:rPr>
          <w:rFonts w:ascii="Times New Roman" w:hAnsi="Times New Roman"/>
          <w:sz w:val="28"/>
          <w:szCs w:val="28"/>
        </w:rPr>
      </w:pPr>
    </w:p>
    <w:p w14:paraId="32DA731F" w14:textId="77777777" w:rsidR="00A632B8" w:rsidRPr="002D6E48" w:rsidRDefault="00A632B8" w:rsidP="00A632B8">
      <w:pPr>
        <w:ind w:left="425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</w:pPr>
      <w:bookmarkStart w:id="2" w:name="_GoBack"/>
      <w:r w:rsidRPr="002D6E48"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Друга колегія суддів</w:t>
      </w:r>
    </w:p>
    <w:p w14:paraId="017F2BF4" w14:textId="77777777" w:rsidR="00A632B8" w:rsidRPr="002D6E48" w:rsidRDefault="00A632B8" w:rsidP="00A632B8">
      <w:pPr>
        <w:ind w:left="425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</w:pPr>
      <w:r w:rsidRPr="002D6E48"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Першого сенату</w:t>
      </w:r>
    </w:p>
    <w:p w14:paraId="64D5C58E" w14:textId="06C5F241" w:rsidR="00F729E6" w:rsidRDefault="00A632B8" w:rsidP="00A632B8">
      <w:pPr>
        <w:ind w:left="4254"/>
        <w:jc w:val="center"/>
        <w:rPr>
          <w:rFonts w:ascii="Times New Roman" w:hAnsi="Times New Roman"/>
          <w:sz w:val="28"/>
          <w:szCs w:val="28"/>
        </w:rPr>
      </w:pPr>
      <w:r w:rsidRPr="002D6E48"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2"/>
    </w:p>
    <w:sectPr w:rsidR="00F729E6" w:rsidSect="00F729E6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DC62" w14:textId="77777777" w:rsidR="00396FF6" w:rsidRDefault="00396FF6">
      <w:r>
        <w:separator/>
      </w:r>
    </w:p>
  </w:endnote>
  <w:endnote w:type="continuationSeparator" w:id="0">
    <w:p w14:paraId="0097C58E" w14:textId="77777777" w:rsidR="00396FF6" w:rsidRDefault="0039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06161" w14:textId="3CFCDC85" w:rsidR="00F729E6" w:rsidRPr="00F729E6" w:rsidRDefault="00F729E6">
    <w:pPr>
      <w:pStyle w:val="afa"/>
      <w:rPr>
        <w:rFonts w:ascii="Times New Roman" w:hAnsi="Times New Roman"/>
        <w:sz w:val="10"/>
        <w:szCs w:val="10"/>
      </w:rPr>
    </w:pPr>
    <w:r w:rsidRPr="00F729E6">
      <w:rPr>
        <w:rFonts w:ascii="Times New Roman" w:hAnsi="Times New Roman"/>
        <w:sz w:val="10"/>
        <w:szCs w:val="10"/>
      </w:rPr>
      <w:fldChar w:fldCharType="begin"/>
    </w:r>
    <w:r w:rsidRPr="00F729E6">
      <w:rPr>
        <w:rFonts w:ascii="Times New Roman" w:hAnsi="Times New Roman"/>
        <w:sz w:val="10"/>
        <w:szCs w:val="10"/>
      </w:rPr>
      <w:instrText xml:space="preserve"> FILENAME \p \* MERGEFORMAT </w:instrText>
    </w:r>
    <w:r w:rsidRPr="00F729E6">
      <w:rPr>
        <w:rFonts w:ascii="Times New Roman" w:hAnsi="Times New Roman"/>
        <w:sz w:val="10"/>
        <w:szCs w:val="10"/>
      </w:rPr>
      <w:fldChar w:fldCharType="separate"/>
    </w:r>
    <w:r w:rsidR="00A632B8">
      <w:rPr>
        <w:rFonts w:ascii="Times New Roman" w:hAnsi="Times New Roman"/>
        <w:noProof/>
        <w:sz w:val="10"/>
        <w:szCs w:val="10"/>
      </w:rPr>
      <w:t>S:\Mashburo\2025\Suddi\I senat\II koleg\28.docx</w:t>
    </w:r>
    <w:r w:rsidRPr="00F729E6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F62F" w14:textId="05C6150E" w:rsidR="00F729E6" w:rsidRPr="00F729E6" w:rsidRDefault="00F729E6">
    <w:pPr>
      <w:pStyle w:val="afa"/>
      <w:rPr>
        <w:rFonts w:ascii="Times New Roman" w:hAnsi="Times New Roman"/>
        <w:sz w:val="10"/>
        <w:szCs w:val="10"/>
      </w:rPr>
    </w:pPr>
    <w:r w:rsidRPr="00F729E6">
      <w:rPr>
        <w:rFonts w:ascii="Times New Roman" w:hAnsi="Times New Roman"/>
        <w:sz w:val="10"/>
        <w:szCs w:val="10"/>
      </w:rPr>
      <w:fldChar w:fldCharType="begin"/>
    </w:r>
    <w:r w:rsidRPr="00F729E6">
      <w:rPr>
        <w:rFonts w:ascii="Times New Roman" w:hAnsi="Times New Roman"/>
        <w:sz w:val="10"/>
        <w:szCs w:val="10"/>
      </w:rPr>
      <w:instrText xml:space="preserve"> FILENAME \p \* MERGEFORMAT </w:instrText>
    </w:r>
    <w:r w:rsidRPr="00F729E6">
      <w:rPr>
        <w:rFonts w:ascii="Times New Roman" w:hAnsi="Times New Roman"/>
        <w:sz w:val="10"/>
        <w:szCs w:val="10"/>
      </w:rPr>
      <w:fldChar w:fldCharType="separate"/>
    </w:r>
    <w:r w:rsidR="00A632B8">
      <w:rPr>
        <w:rFonts w:ascii="Times New Roman" w:hAnsi="Times New Roman"/>
        <w:noProof/>
        <w:sz w:val="10"/>
        <w:szCs w:val="10"/>
      </w:rPr>
      <w:t>S:\Mashburo\2025\Suddi\I senat\II koleg\28.docx</w:t>
    </w:r>
    <w:r w:rsidRPr="00F729E6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E8DB" w14:textId="77777777" w:rsidR="00396FF6" w:rsidRDefault="00396FF6">
      <w:r>
        <w:separator/>
      </w:r>
    </w:p>
  </w:footnote>
  <w:footnote w:type="continuationSeparator" w:id="0">
    <w:p w14:paraId="72133550" w14:textId="77777777" w:rsidR="00396FF6" w:rsidRDefault="0039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22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FB13C10" w14:textId="647DBA38" w:rsidR="00DA53A1" w:rsidRPr="00F729E6" w:rsidRDefault="00B26BC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729E6">
          <w:rPr>
            <w:rFonts w:ascii="Times New Roman" w:hAnsi="Times New Roman"/>
            <w:sz w:val="28"/>
            <w:szCs w:val="28"/>
          </w:rPr>
          <w:fldChar w:fldCharType="begin"/>
        </w:r>
        <w:r w:rsidRPr="00F729E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729E6">
          <w:rPr>
            <w:rFonts w:ascii="Times New Roman" w:hAnsi="Times New Roman"/>
            <w:sz w:val="28"/>
            <w:szCs w:val="28"/>
          </w:rPr>
          <w:fldChar w:fldCharType="separate"/>
        </w:r>
        <w:r w:rsidR="00A632B8">
          <w:rPr>
            <w:rFonts w:ascii="Times New Roman" w:hAnsi="Times New Roman"/>
            <w:noProof/>
            <w:sz w:val="28"/>
            <w:szCs w:val="28"/>
          </w:rPr>
          <w:t>6</w:t>
        </w:r>
        <w:r w:rsidRPr="00F729E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679F"/>
    <w:multiLevelType w:val="hybridMultilevel"/>
    <w:tmpl w:val="8C40EDB0"/>
    <w:lvl w:ilvl="0" w:tplc="299E020A">
      <w:start w:val="1"/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7404EFE"/>
    <w:multiLevelType w:val="hybridMultilevel"/>
    <w:tmpl w:val="10E46628"/>
    <w:lvl w:ilvl="0" w:tplc="17B831A6"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86671D7"/>
    <w:multiLevelType w:val="hybridMultilevel"/>
    <w:tmpl w:val="07128556"/>
    <w:lvl w:ilvl="0" w:tplc="2E0CC7DE">
      <w:start w:val="1"/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071730"/>
    <w:multiLevelType w:val="hybridMultilevel"/>
    <w:tmpl w:val="A9362F00"/>
    <w:lvl w:ilvl="0" w:tplc="31CA7890">
      <w:start w:val="1"/>
      <w:numFmt w:val="bullet"/>
      <w:lvlText w:val="-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7EEF64E0"/>
    <w:multiLevelType w:val="hybridMultilevel"/>
    <w:tmpl w:val="387A260E"/>
    <w:lvl w:ilvl="0" w:tplc="6F8A70C8">
      <w:start w:val="1"/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F"/>
    <w:rsid w:val="00017818"/>
    <w:rsid w:val="000354BB"/>
    <w:rsid w:val="000636A5"/>
    <w:rsid w:val="00072441"/>
    <w:rsid w:val="000A7D7C"/>
    <w:rsid w:val="000B5835"/>
    <w:rsid w:val="000D41FF"/>
    <w:rsid w:val="000E0161"/>
    <w:rsid w:val="000E6B3C"/>
    <w:rsid w:val="000F146B"/>
    <w:rsid w:val="0010085F"/>
    <w:rsid w:val="00103657"/>
    <w:rsid w:val="0012719D"/>
    <w:rsid w:val="00135570"/>
    <w:rsid w:val="001627E7"/>
    <w:rsid w:val="001950B1"/>
    <w:rsid w:val="001A3BD0"/>
    <w:rsid w:val="001A5C1E"/>
    <w:rsid w:val="001C022A"/>
    <w:rsid w:val="001D5094"/>
    <w:rsid w:val="001E5580"/>
    <w:rsid w:val="002124B5"/>
    <w:rsid w:val="00217FDA"/>
    <w:rsid w:val="00223F58"/>
    <w:rsid w:val="002440B8"/>
    <w:rsid w:val="00266FF9"/>
    <w:rsid w:val="0029138D"/>
    <w:rsid w:val="00291F75"/>
    <w:rsid w:val="002B638E"/>
    <w:rsid w:val="002C1308"/>
    <w:rsid w:val="002E18DA"/>
    <w:rsid w:val="00340B48"/>
    <w:rsid w:val="00355487"/>
    <w:rsid w:val="00364DBA"/>
    <w:rsid w:val="00395A5F"/>
    <w:rsid w:val="00396FF6"/>
    <w:rsid w:val="003A4E58"/>
    <w:rsid w:val="003D27E6"/>
    <w:rsid w:val="003D3D19"/>
    <w:rsid w:val="003E0E6A"/>
    <w:rsid w:val="003F4654"/>
    <w:rsid w:val="0041192C"/>
    <w:rsid w:val="00417E1C"/>
    <w:rsid w:val="004360F6"/>
    <w:rsid w:val="00444D25"/>
    <w:rsid w:val="0044633E"/>
    <w:rsid w:val="0044788F"/>
    <w:rsid w:val="004568F4"/>
    <w:rsid w:val="004651F2"/>
    <w:rsid w:val="00472945"/>
    <w:rsid w:val="004953C1"/>
    <w:rsid w:val="004B26E1"/>
    <w:rsid w:val="004D4F72"/>
    <w:rsid w:val="004E154A"/>
    <w:rsid w:val="004F5F27"/>
    <w:rsid w:val="00501B99"/>
    <w:rsid w:val="00511594"/>
    <w:rsid w:val="00583943"/>
    <w:rsid w:val="005B79E1"/>
    <w:rsid w:val="005F3536"/>
    <w:rsid w:val="00604B7D"/>
    <w:rsid w:val="00605032"/>
    <w:rsid w:val="00651CCD"/>
    <w:rsid w:val="006B37DB"/>
    <w:rsid w:val="006D35DE"/>
    <w:rsid w:val="006E659D"/>
    <w:rsid w:val="00703737"/>
    <w:rsid w:val="0070446F"/>
    <w:rsid w:val="0070744E"/>
    <w:rsid w:val="00732B95"/>
    <w:rsid w:val="00760981"/>
    <w:rsid w:val="007862D2"/>
    <w:rsid w:val="00795CBA"/>
    <w:rsid w:val="00796B42"/>
    <w:rsid w:val="007A23FE"/>
    <w:rsid w:val="007C566D"/>
    <w:rsid w:val="007F5F90"/>
    <w:rsid w:val="00814910"/>
    <w:rsid w:val="008239D9"/>
    <w:rsid w:val="00826046"/>
    <w:rsid w:val="00832848"/>
    <w:rsid w:val="008366D4"/>
    <w:rsid w:val="0084043E"/>
    <w:rsid w:val="00841377"/>
    <w:rsid w:val="0085569B"/>
    <w:rsid w:val="00871A4A"/>
    <w:rsid w:val="00876087"/>
    <w:rsid w:val="008A05DF"/>
    <w:rsid w:val="008A7D2A"/>
    <w:rsid w:val="008B27B6"/>
    <w:rsid w:val="008D04B1"/>
    <w:rsid w:val="008D27FB"/>
    <w:rsid w:val="008D4CBC"/>
    <w:rsid w:val="008E5F07"/>
    <w:rsid w:val="008F1BB3"/>
    <w:rsid w:val="008F1BD0"/>
    <w:rsid w:val="008F3445"/>
    <w:rsid w:val="00901C19"/>
    <w:rsid w:val="009121AF"/>
    <w:rsid w:val="00912DB5"/>
    <w:rsid w:val="00916BCE"/>
    <w:rsid w:val="0091740F"/>
    <w:rsid w:val="00931412"/>
    <w:rsid w:val="00936531"/>
    <w:rsid w:val="00967523"/>
    <w:rsid w:val="00972C9E"/>
    <w:rsid w:val="009744D9"/>
    <w:rsid w:val="009746D6"/>
    <w:rsid w:val="00976496"/>
    <w:rsid w:val="00987B9E"/>
    <w:rsid w:val="009A2541"/>
    <w:rsid w:val="009A5322"/>
    <w:rsid w:val="009A590F"/>
    <w:rsid w:val="009B71C9"/>
    <w:rsid w:val="009C310C"/>
    <w:rsid w:val="009D3020"/>
    <w:rsid w:val="009E1175"/>
    <w:rsid w:val="009E52D9"/>
    <w:rsid w:val="009F4284"/>
    <w:rsid w:val="00A001FD"/>
    <w:rsid w:val="00A04794"/>
    <w:rsid w:val="00A06083"/>
    <w:rsid w:val="00A10FFC"/>
    <w:rsid w:val="00A25AF4"/>
    <w:rsid w:val="00A5066C"/>
    <w:rsid w:val="00A556C0"/>
    <w:rsid w:val="00A632B8"/>
    <w:rsid w:val="00A73CB6"/>
    <w:rsid w:val="00A756D8"/>
    <w:rsid w:val="00A8787B"/>
    <w:rsid w:val="00AA371F"/>
    <w:rsid w:val="00AA72EE"/>
    <w:rsid w:val="00AC5572"/>
    <w:rsid w:val="00AE101A"/>
    <w:rsid w:val="00AE733D"/>
    <w:rsid w:val="00AF146A"/>
    <w:rsid w:val="00AF7757"/>
    <w:rsid w:val="00B110D8"/>
    <w:rsid w:val="00B13F3A"/>
    <w:rsid w:val="00B26BCB"/>
    <w:rsid w:val="00B34EF6"/>
    <w:rsid w:val="00B51C1C"/>
    <w:rsid w:val="00B51C78"/>
    <w:rsid w:val="00B56E88"/>
    <w:rsid w:val="00B62BD7"/>
    <w:rsid w:val="00B72CE2"/>
    <w:rsid w:val="00B7517C"/>
    <w:rsid w:val="00B838B6"/>
    <w:rsid w:val="00BB2A18"/>
    <w:rsid w:val="00BC4ADE"/>
    <w:rsid w:val="00BE54FC"/>
    <w:rsid w:val="00C25333"/>
    <w:rsid w:val="00C26CBA"/>
    <w:rsid w:val="00C30510"/>
    <w:rsid w:val="00C349C6"/>
    <w:rsid w:val="00C46876"/>
    <w:rsid w:val="00C51465"/>
    <w:rsid w:val="00C87D0C"/>
    <w:rsid w:val="00CB55AD"/>
    <w:rsid w:val="00CC1CD4"/>
    <w:rsid w:val="00CC30AD"/>
    <w:rsid w:val="00CF6FA4"/>
    <w:rsid w:val="00D12814"/>
    <w:rsid w:val="00D17837"/>
    <w:rsid w:val="00D27762"/>
    <w:rsid w:val="00D43D1B"/>
    <w:rsid w:val="00D44F83"/>
    <w:rsid w:val="00DA3A05"/>
    <w:rsid w:val="00DA53A1"/>
    <w:rsid w:val="00DF05A7"/>
    <w:rsid w:val="00E17F81"/>
    <w:rsid w:val="00E264A9"/>
    <w:rsid w:val="00E44F3D"/>
    <w:rsid w:val="00E5065B"/>
    <w:rsid w:val="00E63A5C"/>
    <w:rsid w:val="00E675E5"/>
    <w:rsid w:val="00E76159"/>
    <w:rsid w:val="00E853FD"/>
    <w:rsid w:val="00E95671"/>
    <w:rsid w:val="00EA4CCB"/>
    <w:rsid w:val="00EC02C9"/>
    <w:rsid w:val="00F02C2C"/>
    <w:rsid w:val="00F15AE8"/>
    <w:rsid w:val="00F24C05"/>
    <w:rsid w:val="00F30735"/>
    <w:rsid w:val="00F34EA9"/>
    <w:rsid w:val="00F6367F"/>
    <w:rsid w:val="00F729E6"/>
    <w:rsid w:val="00F81A62"/>
    <w:rsid w:val="00F97FB8"/>
    <w:rsid w:val="00FA4233"/>
    <w:rsid w:val="00FC16BF"/>
    <w:rsid w:val="00FE0D5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2332"/>
  <w15:chartTrackingRefBased/>
  <w15:docId w15:val="{90C83E0A-36FE-4946-8DB8-B271FFE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3D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D1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D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D1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D1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D1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D1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D1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D1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CB"/>
    <w:pPr>
      <w:tabs>
        <w:tab w:val="center" w:pos="4819"/>
        <w:tab w:val="right" w:pos="9639"/>
      </w:tabs>
    </w:pPr>
    <w:rPr>
      <w:rFonts w:ascii="Calibri" w:eastAsia="Times New Roman" w:hAnsi="Calibri"/>
    </w:rPr>
  </w:style>
  <w:style w:type="character" w:customStyle="1" w:styleId="a4">
    <w:name w:val="Верхній колонтитул Знак"/>
    <w:basedOn w:val="a0"/>
    <w:link w:val="a3"/>
    <w:uiPriority w:val="99"/>
    <w:rsid w:val="00B26BCB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B26BCB"/>
    <w:pPr>
      <w:shd w:val="clear" w:color="auto" w:fill="FFFFFF"/>
      <w:spacing w:line="331" w:lineRule="exact"/>
      <w:ind w:hanging="1140"/>
    </w:pPr>
    <w:rPr>
      <w:rFonts w:ascii="Times New Roman" w:eastAsia="Calibri" w:hAnsi="Times New Roman"/>
      <w:noProof/>
      <w:sz w:val="25"/>
      <w:szCs w:val="25"/>
      <w:lang w:eastAsia="uk-UA"/>
    </w:rPr>
  </w:style>
  <w:style w:type="character" w:customStyle="1" w:styleId="a6">
    <w:name w:val="Основний текст Знак"/>
    <w:basedOn w:val="a0"/>
    <w:link w:val="a5"/>
    <w:semiHidden/>
    <w:rsid w:val="00B26BCB"/>
    <w:rPr>
      <w:rFonts w:ascii="Times New Roman" w:eastAsia="Calibri" w:hAnsi="Times New Roman" w:cs="Times New Roman"/>
      <w:noProof/>
      <w:sz w:val="25"/>
      <w:szCs w:val="25"/>
      <w:shd w:val="clear" w:color="auto" w:fill="FFFFFF"/>
      <w:lang w:eastAsia="uk-UA"/>
    </w:rPr>
  </w:style>
  <w:style w:type="paragraph" w:styleId="a7">
    <w:name w:val="List Paragraph"/>
    <w:basedOn w:val="a"/>
    <w:uiPriority w:val="34"/>
    <w:qFormat/>
    <w:rsid w:val="003D3D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3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3D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3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3D1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D1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3D1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3D1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3D1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3D19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3D3D19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3D3D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 Знак"/>
    <w:basedOn w:val="a0"/>
    <w:link w:val="a9"/>
    <w:uiPriority w:val="10"/>
    <w:rsid w:val="003D3D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3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ідзаголовок Знак"/>
    <w:basedOn w:val="a0"/>
    <w:link w:val="ab"/>
    <w:uiPriority w:val="11"/>
    <w:rsid w:val="003D3D19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3D3D19"/>
    <w:rPr>
      <w:b/>
      <w:bCs/>
    </w:rPr>
  </w:style>
  <w:style w:type="character" w:styleId="ae">
    <w:name w:val="Emphasis"/>
    <w:basedOn w:val="a0"/>
    <w:uiPriority w:val="20"/>
    <w:qFormat/>
    <w:rsid w:val="003D3D19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D3D19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3D3D19"/>
    <w:rPr>
      <w:i/>
    </w:rPr>
  </w:style>
  <w:style w:type="character" w:customStyle="1" w:styleId="af1">
    <w:name w:val="Цитата Знак"/>
    <w:basedOn w:val="a0"/>
    <w:link w:val="af0"/>
    <w:uiPriority w:val="29"/>
    <w:rsid w:val="003D3D19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D3D19"/>
    <w:pPr>
      <w:ind w:left="720" w:right="720"/>
    </w:pPr>
    <w:rPr>
      <w:b/>
      <w:i/>
      <w:szCs w:val="22"/>
    </w:rPr>
  </w:style>
  <w:style w:type="character" w:customStyle="1" w:styleId="af3">
    <w:name w:val="Насичена цитата Знак"/>
    <w:basedOn w:val="a0"/>
    <w:link w:val="af2"/>
    <w:uiPriority w:val="30"/>
    <w:rsid w:val="003D3D19"/>
    <w:rPr>
      <w:b/>
      <w:i/>
      <w:sz w:val="24"/>
    </w:rPr>
  </w:style>
  <w:style w:type="character" w:styleId="af4">
    <w:name w:val="Subtle Emphasis"/>
    <w:uiPriority w:val="19"/>
    <w:qFormat/>
    <w:rsid w:val="003D3D19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D3D19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D3D19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D3D19"/>
    <w:pPr>
      <w:outlineLvl w:val="9"/>
    </w:pPr>
  </w:style>
  <w:style w:type="paragraph" w:styleId="afa">
    <w:name w:val="footer"/>
    <w:basedOn w:val="a"/>
    <w:link w:val="afb"/>
    <w:uiPriority w:val="99"/>
    <w:unhideWhenUsed/>
    <w:rsid w:val="003D3D1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3D3D19"/>
    <w:rPr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F729E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F729E6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39"/>
    <w:rsid w:val="00F729E6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DFE5-CD05-4BF1-BB6D-7AC20B86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5676</Words>
  <Characters>3236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М. Радакович</dc:creator>
  <cp:keywords/>
  <dc:description/>
  <cp:lastModifiedBy>Валентина М. Поліщук</cp:lastModifiedBy>
  <cp:revision>6</cp:revision>
  <cp:lastPrinted>2025-10-13T07:51:00Z</cp:lastPrinted>
  <dcterms:created xsi:type="dcterms:W3CDTF">2025-10-08T11:42:00Z</dcterms:created>
  <dcterms:modified xsi:type="dcterms:W3CDTF">2025-10-13T07:51:00Z</dcterms:modified>
</cp:coreProperties>
</file>