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0D7E4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E651245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19917195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2C2BFFE7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49A7453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6374A34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D270D1C" w14:textId="77777777" w:rsidR="002C6E18" w:rsidRDefault="002C6E18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6788FED3" w14:textId="4A4FFE5A" w:rsidR="00F9684F" w:rsidRPr="002C6E18" w:rsidRDefault="00F9684F" w:rsidP="002C6E18">
      <w:pPr>
        <w:tabs>
          <w:tab w:val="center" w:pos="48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 відмову у відкритті конституційного провадження у справі 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br/>
        <w:t xml:space="preserve">за конституційною скаргою </w:t>
      </w:r>
      <w:bookmarkStart w:id="0" w:name="_Hlk209783821"/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Товариства з обмеженою відповідальністю „</w:t>
      </w:r>
      <w:r w:rsidR="00445AF8" w:rsidRPr="002C6E18">
        <w:rPr>
          <w:rFonts w:ascii="Times New Roman" w:eastAsia="Times New Roman" w:hAnsi="Times New Roman" w:cs="Times New Roman"/>
          <w:b/>
          <w:caps/>
          <w:kern w:val="0"/>
          <w:sz w:val="28"/>
          <w:szCs w:val="28"/>
          <w:lang w:eastAsia="uk-UA"/>
          <w14:ligatures w14:val="none"/>
        </w:rPr>
        <w:t>Євро Смарт Пауер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“ 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щодо відповідності Конституції України (конституційності) частин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и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третьої 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статті 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56 Закону України „Про захист економічної конкуренції“</w:t>
      </w:r>
      <w:bookmarkEnd w:id="0"/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bookmarkStart w:id="1" w:name="_Hlk209784336"/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в редакції до внесення змін 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Закон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ом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України „</w:t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Про внесення змін до деяких законодавчих актів України щодо вдосконалення законодавства про захист економічної конкуренції та </w:t>
      </w:r>
      <w:r w:rsid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br/>
      </w:r>
      <w:r w:rsid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ab/>
      </w:r>
      <w:r w:rsidR="00445AF8"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діяльності Антимонопольного комітету України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“ </w:t>
      </w:r>
    </w:p>
    <w:bookmarkEnd w:id="1"/>
    <w:p w14:paraId="0DA4DD4B" w14:textId="77777777" w:rsidR="00F9684F" w:rsidRPr="002C6E18" w:rsidRDefault="00F9684F" w:rsidP="002C6E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08CA2FC3" w14:textId="007E2E9B" w:rsidR="00F9684F" w:rsidRPr="002C6E18" w:rsidRDefault="00F9684F" w:rsidP="002C6E18">
      <w:pPr>
        <w:tabs>
          <w:tab w:val="right" w:pos="963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 и ї в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ab/>
        <w:t>Справа № 3-1</w:t>
      </w:r>
      <w:r w:rsidR="008C0C3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69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/2025(</w:t>
      </w:r>
      <w:r w:rsidR="008C0C3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345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/25)</w:t>
      </w:r>
    </w:p>
    <w:p w14:paraId="4F96F114" w14:textId="49125FAE" w:rsidR="00F9684F" w:rsidRPr="002C6E18" w:rsidRDefault="002C6E18" w:rsidP="002C6E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F78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жовт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ня 2025 року</w:t>
      </w:r>
    </w:p>
    <w:p w14:paraId="6CAB70AB" w14:textId="735707E7" w:rsidR="00F9684F" w:rsidRPr="002C6E18" w:rsidRDefault="00F9684F" w:rsidP="002C6E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№ </w:t>
      </w:r>
      <w:r w:rsidR="00F72314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160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-2(І)/2025</w:t>
      </w:r>
    </w:p>
    <w:p w14:paraId="080E3940" w14:textId="77777777" w:rsidR="00F9684F" w:rsidRPr="002C6E18" w:rsidRDefault="00F9684F" w:rsidP="002C6E1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4B6F9BC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Друга колегія суддів Першого сенату Конституційного Суду України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  <w:t>у складі:</w:t>
      </w:r>
    </w:p>
    <w:p w14:paraId="1A975E97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1490A9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Грищук Оксани Вікторівни – </w:t>
      </w:r>
      <w:proofErr w:type="spellStart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val="ru-RU" w:eastAsia="uk-UA"/>
          <w14:ligatures w14:val="none"/>
        </w:rPr>
        <w:t>головуючого</w:t>
      </w:r>
      <w:proofErr w:type="spellEnd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</w:t>
      </w:r>
    </w:p>
    <w:p w14:paraId="7BFE7A02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Барабаша Юрія Григоровича,</w:t>
      </w:r>
    </w:p>
    <w:p w14:paraId="6C9B9E07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proofErr w:type="spellStart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Совгирі</w:t>
      </w:r>
      <w:proofErr w:type="spellEnd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Ольги Володимирівни – доповідача,</w:t>
      </w:r>
    </w:p>
    <w:p w14:paraId="290A63C3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0EA1F501" w14:textId="67E4FA02" w:rsidR="00F9684F" w:rsidRPr="002C6E18" w:rsidRDefault="00F9684F" w:rsidP="002C6E18">
      <w:pPr>
        <w:suppressAutoHyphens/>
        <w:spacing w:after="0" w:line="348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розглянула на засіданні питання про відкриття конституційного провадження у справі за конституційною скаргою </w:t>
      </w:r>
      <w:r w:rsidR="001F78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Товариства з обмеженою відповідальністю „</w:t>
      </w:r>
      <w:r w:rsidR="001F78A7" w:rsidRPr="002C6E18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>Євро Смарт Пауер</w:t>
      </w:r>
      <w:r w:rsidR="001F78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“ щодо відповідності Конституції України (конституційності) частини третьої статті 56 Закону України „Про захист економічної конкуренції“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від </w:t>
      </w:r>
      <w:r w:rsidR="001F78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11 січня 2001 року № 2210</w:t>
      </w:r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1F78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III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Відомості Ве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рховної Ради України, 2001 р.,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№ 12, ст. 64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 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редакції до внесення змін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Законом України „Про внесення змін до деяких законодавчих актів України щодо вдосконалення законодавства про захист економічної конкуренції та діяльності Антимонопольного комітету України“ від 9 серпня 2023 року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 xml:space="preserve">№ 3295–IX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(</w:t>
      </w:r>
      <w:bookmarkStart w:id="2" w:name="_Hlk209784278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Відомості Верховної Ради України, 20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23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р.,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№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89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ст. </w:t>
      </w:r>
      <w:r w:rsidR="00B51A5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334</w:t>
      </w:r>
      <w:bookmarkEnd w:id="2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).</w:t>
      </w:r>
    </w:p>
    <w:p w14:paraId="7640CD93" w14:textId="77777777" w:rsidR="00F9684F" w:rsidRPr="002C6E18" w:rsidRDefault="00F9684F" w:rsidP="002C6E1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F1B72AB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Заслухавши суддю-доповідача </w:t>
      </w:r>
      <w:proofErr w:type="spellStart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Совгирю</w:t>
      </w:r>
      <w:proofErr w:type="spellEnd"/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О.В. та дослідивши матеріали справи, Друга колегія суддів Першого сенату Конституційного Суду України</w:t>
      </w:r>
    </w:p>
    <w:p w14:paraId="7BDDE5C7" w14:textId="77777777" w:rsidR="00F9684F" w:rsidRPr="002C6E18" w:rsidRDefault="00F9684F" w:rsidP="002C6E1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lastRenderedPageBreak/>
        <w:t>у с т а н о в и л а:</w:t>
      </w:r>
    </w:p>
    <w:p w14:paraId="0AC4FACF" w14:textId="77777777" w:rsidR="00F9684F" w:rsidRPr="002C6E18" w:rsidRDefault="00F9684F" w:rsidP="002C6E18">
      <w:pPr>
        <w:suppressAutoHyphens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803ABAC" w14:textId="15222ED8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1. 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Товариство з обмеженою відповідальністю „</w:t>
      </w:r>
      <w:r w:rsidR="00D32B5C" w:rsidRPr="002C6E18">
        <w:rPr>
          <w:rFonts w:ascii="Times New Roman" w:eastAsia="Times New Roman" w:hAnsi="Times New Roman" w:cs="Times New Roman"/>
          <w:caps/>
          <w:kern w:val="0"/>
          <w:sz w:val="28"/>
          <w:szCs w:val="28"/>
          <w:lang w:eastAsia="uk-UA"/>
          <w14:ligatures w14:val="none"/>
        </w:rPr>
        <w:t>Євро Смарт Пауер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“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D32B5C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(далі </w:t>
      </w:r>
      <w:r w:rsidR="00635222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D32B5C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Товариство)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зверну</w:t>
      </w:r>
      <w:r w:rsidR="00D32B5C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ло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ся до Конституційного Суду України з клопотанням перевірити на відповідність частині </w:t>
      </w:r>
      <w:r w:rsidR="004C75A7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перш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ій</w:t>
      </w:r>
      <w:r w:rsidR="004C75A7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>статті 8, частині другій статті 55</w:t>
      </w:r>
      <w:r w:rsidR="004C75A7"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Конституції України (конституційність) 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трет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ю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статті 56 Закону України „Про захист економічної конкуренції“ 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від 11 січня 2001 року № 2210</w:t>
      </w:r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III (далі </w:t>
      </w:r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Закон</w:t>
      </w:r>
      <w:r w:rsidR="001A0F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2210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) </w:t>
      </w:r>
      <w:r w:rsidR="00D32B5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 редакції до внесення змін  Законом України „Про внесення змін до деяких законодавчих актів України щодо вдосконалення законодавства про захист економічної конкуренції та діяльності Антимонопольного комітету України“ від 9 серпня 2023 року № 3295–IX</w:t>
      </w:r>
      <w:r w:rsidR="004C75A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(далі – Закон № 3295), згідно з якою</w:t>
      </w:r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„особа, на яку накладено штраф </w:t>
      </w:r>
      <w:bookmarkStart w:id="3" w:name="_Hlk209786123"/>
      <w:r w:rsidR="00A30039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за </w:t>
      </w:r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рішенням органу Антимонопольного комітету України</w:t>
      </w:r>
      <w:bookmarkEnd w:id="3"/>
      <w:r w:rsidR="007B1A1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сплачує його у двомісячний строк з дня одержання рішення про накладення штрафу“.</w:t>
      </w:r>
    </w:p>
    <w:p w14:paraId="09A6A3C9" w14:textId="77777777" w:rsidR="004C75A7" w:rsidRPr="002C6E18" w:rsidRDefault="004C75A7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4FDDB056" w14:textId="77441355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2. Зі змісту конституційної скарги та долучених до неї матеріалів убачається таке. </w:t>
      </w:r>
    </w:p>
    <w:p w14:paraId="0F986142" w14:textId="1FBD5DFB" w:rsidR="00A229D1" w:rsidRPr="002C6E18" w:rsidRDefault="007B1A10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Тимчасова адміністративна колегія Антимонопольного комітету України </w:t>
      </w:r>
      <w:r w:rsidR="006C7A5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(далі </w:t>
      </w:r>
      <w:r w:rsidR="007E645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="006C7A5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Комітет)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рішенням від 28 жовтня 2022 року наклала</w:t>
      </w:r>
      <w:r w:rsidR="0065300C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на Товариство штраф за порушення законодавства про захист економічної конкуренції</w:t>
      </w:r>
      <w:r w:rsidR="006C7A5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  <w:r w:rsidR="00A229D1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Зазначене рішення </w:t>
      </w:r>
      <w:r w:rsidR="00A30039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Комітету </w:t>
      </w:r>
      <w:r w:rsidR="00A229D1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Товариство оскаржило до 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Господарськ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суд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міста Києва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який 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рішенням від 13 квітня 2023 року, залишеним без змін </w:t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постановою 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Північн</w:t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ого 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апеляційн</w:t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господарськ</w:t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</w:t>
      </w:r>
      <w:r w:rsidR="00587AA3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суд</w:t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 від 21 травня 2024 року, відмовив Товариству у задоволенні позову. Това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риство сплатило штраф 22 травня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B85D1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2024 року.</w:t>
      </w:r>
    </w:p>
    <w:p w14:paraId="3A084FE9" w14:textId="7F6CB1D8" w:rsidR="00B85D14" w:rsidRPr="002C6E18" w:rsidRDefault="00B85D14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 жовтні 2024 року Комітет звернувся до суду з позовом до Товариства</w:t>
      </w:r>
      <w:r w:rsidR="00C33DFD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стягнення пені за</w:t>
      </w:r>
      <w:r w:rsidR="00837D9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кожен</w:t>
      </w:r>
      <w:r w:rsidR="00C33DFD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837D9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день </w:t>
      </w:r>
      <w:r w:rsidR="00C33DFD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прострочення сплати штрафу</w:t>
      </w:r>
      <w:r w:rsidR="00837D9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за винятком часу розгляду справи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074B20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осподарським судом міста Києва та Північним апеляційним господарським судом</w:t>
      </w:r>
      <w:r w:rsidR="00837D94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.</w:t>
      </w:r>
    </w:p>
    <w:p w14:paraId="7EAF5F73" w14:textId="4DDEA422" w:rsidR="00B85872" w:rsidRPr="002C6E18" w:rsidRDefault="007E6453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Господарський суд міста Києва 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рішенням від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17 грудня 2024 року задовольнив позов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омітету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. Північний апеляційний господарський суд постановою від 8 квітня 2025 року скасував рішення суду першої інстанції та ухвалив нове, яким відмовив </w:t>
      </w:r>
      <w:r w:rsidR="005A525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Комітету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у задоволенні позову. 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Верховний Суд у складі колегії суддів Касаційного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господарського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суду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постаново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ю від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5</w:t>
      </w:r>
      <w:r w:rsidR="00F9684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червня 2025 року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скасував постанову Північного апеляційного господарського суду від 8 квітня 2025 року, а рішення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Г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осподарського суд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міста Києва від 17 грудня </w:t>
      </w:r>
      <w:r w:rsidR="00915DAE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2024 року </w:t>
      </w:r>
      <w:r w:rsidR="00354D7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– </w:t>
      </w:r>
      <w:r w:rsidR="00B85872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залишив у силі.</w:t>
      </w:r>
    </w:p>
    <w:p w14:paraId="513C37D9" w14:textId="517E5E20" w:rsidR="005A5252" w:rsidRPr="002C6E18" w:rsidRDefault="005A5252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Верховний Суд зазначив, що абзацами третім – п’ятим частини п’ятої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статті 56 Закону</w:t>
      </w:r>
      <w:r w:rsidR="001A0F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2210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 редакції до внесення змін Законом № 3295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передбачено зупинення нарахування пені на час розгляду чи перегляду господарським судом</w:t>
      </w:r>
      <w:r w:rsidR="0064165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: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справи про визнання недійсним рішення органу </w:t>
      </w:r>
      <w:r w:rsidR="0064165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Комітету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про накладення штрафу; відповідного рішення (</w:t>
      </w:r>
      <w:r w:rsidR="0064165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постанови) господарського суду;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тривалість такого зупинення визначається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лише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періодом часу, протягом якого фактично здійснювався зазначений розгляд чи перегляд (у суді першої інстанції </w:t>
      </w:r>
      <w:r w:rsidR="0064165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дня порушення провадження у справі до дня прийняття рішення в ній; у судах апеляційної та касаційної інстанцій </w:t>
      </w:r>
      <w:r w:rsidR="00641657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–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від дня прийняття апеляційної чи касаційної скарги до дня прийняття постанови), і в цей період не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входить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 </w:t>
      </w:r>
      <w:r w:rsidR="001D022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перебува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ння матеріалів справи у суді, коли розгляд чи перегляд не здійснювалися.</w:t>
      </w:r>
    </w:p>
    <w:p w14:paraId="33ACC38F" w14:textId="3BC8C4FE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Автор клопотання вважає, що 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внаслідок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застосування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судами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оспорюван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ого положення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Закону</w:t>
      </w:r>
      <w:r w:rsidR="001A0F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2210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в редакції до внесення змін Законом № 3295</w:t>
      </w:r>
      <w:r w:rsidR="00AA48AF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, яке суперечить принципу юридичної визначеності,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зазнало порушення його </w:t>
      </w:r>
      <w:r w:rsidR="00354D7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конституційне </w:t>
      </w:r>
      <w:r w:rsidR="005A4B18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право на судовий захист.</w:t>
      </w:r>
    </w:p>
    <w:p w14:paraId="05D70877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56C6399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3. Вирішуючи питання про відкриття конституційного провадження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у справі, Друга колегія суддів Першого сенату Конституційного Суду України виходить із такого.</w:t>
      </w:r>
    </w:p>
    <w:p w14:paraId="4A35980F" w14:textId="4C2A57FD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Згідно із Законом України „Про Конституційний Суд України“ конституційною скаргою є подане до Конституційного Суду України письмове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 xml:space="preserve">клопотання щодо перевірки на відповідність Конституції України (конституційність) закону України (його окремих положень), що застосований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  <w:t>в остаточному судовому рішенні у справі суб’єкта права на конституційну скаргу; конституційна скарга має містити обґрунтування тверджень щодо неконституційності закону України (його окремих положень) із зазначенням того, яке з гарантованих Конституцією України прав людини, на думку суб’єкта права на конституційну скаргу, зазнало порушення внаслідок застосування закону (</w:t>
      </w:r>
      <w:r w:rsidR="00A30039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частина перша,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пункт 6 частини другої статті 55); конституційна скарга є прийнятною за умов її відповідності вимогам, передбаченим, зокрема,</w:t>
      </w:r>
      <w:r w:rsid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br/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статтею 55 цього закону (абзац перший частини першої статті 77). </w:t>
      </w:r>
    </w:p>
    <w:p w14:paraId="75075AF1" w14:textId="4AB900C8" w:rsidR="00362E51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Аналіз змісту конституційної скарги дає підстави для висновку, що</w:t>
      </w:r>
      <w:r w:rsidR="00EB461A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аргументація </w:t>
      </w:r>
      <w:r w:rsidR="00362E51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Товариства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щодо неконституційності </w:t>
      </w:r>
      <w:r w:rsidR="002113B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частини третьої статті 56 Закону</w:t>
      </w:r>
      <w:r w:rsidR="001A0F1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№ 2210</w:t>
      </w:r>
      <w:r w:rsidR="002113BB"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 в редакції до внесення змін Законом № 3295 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фактично стосується порядку зупинення строків нарахування пені у разі оскарження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до суду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рішення Комітету про накладення штрафу. Проте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зазначений порядок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визначається іншими положеннями статті 56 Закону</w:t>
      </w:r>
      <w:r w:rsidR="001A0F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2210</w:t>
      </w:r>
      <w:r w:rsidR="002113BB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редакції до внесення змін Законом № 3295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щодо конституційності яких Товариство не порушує питання у цій конституційній скарзі. Автор клопотання </w:t>
      </w:r>
      <w:r w:rsidR="00EB461A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не обґрунтува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</w:t>
      </w:r>
      <w:r w:rsidR="00EB461A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у чому саме полягає невідповідність 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оспорюваного положення Закону</w:t>
      </w:r>
      <w:r w:rsidR="001A0F1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№ 2210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редакції до внесення змін Законом № 3295, яке визначає строк сплати штрафу за </w:t>
      </w:r>
      <w:r w:rsidR="00362E51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рішенням органу Антимонопольного комітету України,</w:t>
      </w:r>
      <w:r w:rsidR="00644E9C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EB461A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Конституції України</w:t>
      </w:r>
      <w:r w:rsidR="00362E51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0B0FBB8E" w14:textId="36006C5B" w:rsidR="00BA34F8" w:rsidRPr="002C6E18" w:rsidRDefault="00362E51" w:rsidP="002C6E1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Отже</w:t>
      </w:r>
      <w:r w:rsidR="00BA34F8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суб’єкт права на конституційну скаргу</w:t>
      </w:r>
      <w:r w:rsidR="00BA34F8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не дотримав вимог пункту 6 частини другої статті 55 Закону України „Про Конституційний Суд України“, що є підставою для відмови у відкритті конституційного провадження у справі згідно з пунктом 4 статті 62 цього закону – неприйнятність конституційної скарги.</w:t>
      </w:r>
    </w:p>
    <w:p w14:paraId="27777C00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2DDCE5FE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Ураховуючи викладене та керуючись статтями 147, 151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uk-UA"/>
          <w14:ligatures w14:val="none"/>
        </w:rPr>
        <w:t>1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 xml:space="preserve">, 153 Конституції України, на підставі статей 7, 32, 37, 50, 55, 56, 58, 62, 77, 83, 86 Закону України „Про Конституційний Суд України“, відповідно до § 45, § 56 Регламенту </w:t>
      </w: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lastRenderedPageBreak/>
        <w:t>Конституційного Суду України Друга колегія суддів Першого сенату Конституційного Суду України</w:t>
      </w:r>
    </w:p>
    <w:p w14:paraId="0E7008E9" w14:textId="77777777" w:rsidR="00F9684F" w:rsidRPr="002C6E18" w:rsidRDefault="00F9684F" w:rsidP="002C6E18">
      <w:pPr>
        <w:suppressAutoHyphens/>
        <w:spacing w:after="0" w:line="360" w:lineRule="auto"/>
        <w:ind w:firstLine="567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7B1278A1" w14:textId="2097F7AA" w:rsidR="00F9684F" w:rsidRPr="002C6E18" w:rsidRDefault="00F9684F" w:rsidP="002C6E18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>п о с т а н о в и л а:</w:t>
      </w:r>
    </w:p>
    <w:p w14:paraId="0EAABC37" w14:textId="77777777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</w:p>
    <w:p w14:paraId="47034A0B" w14:textId="70F32E6F" w:rsidR="00F9684F" w:rsidRPr="002C6E18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</w:pPr>
      <w:r w:rsidRPr="002C6E18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  <w:t>1.</w:t>
      </w:r>
      <w:r w:rsidRPr="002C6E1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  <w14:ligatures w14:val="none"/>
        </w:rPr>
        <w:t xml:space="preserve">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Відмовити у відкритті конституційного провадження у справі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за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конституційною скаргою </w:t>
      </w:r>
      <w:r w:rsidR="00362E51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Товариства з обмеженою відповідальністю „</w:t>
      </w:r>
      <w:r w:rsidR="00362E51" w:rsidRPr="002C6E18">
        <w:rPr>
          <w:rFonts w:ascii="Times New Roman" w:eastAsia="Calibri" w:hAnsi="Times New Roman" w:cs="Times New Roman"/>
          <w:caps/>
          <w:kern w:val="0"/>
          <w:sz w:val="28"/>
          <w:szCs w:val="28"/>
          <w14:ligatures w14:val="none"/>
        </w:rPr>
        <w:t>Євро Смарт Пауер</w:t>
      </w:r>
      <w:r w:rsidR="00362E51"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“ щодо відповідності Конституції України (конституційності) частини третьої статті 56 Закону України „Про захист економічної конкуренції“ від 11 січня 2001 року № 2210–III в редакції до внесення змін  Законом України „Про внесення змін до деяких законодавчих актів України щодо вдосконалення законодавства про захист економічної конкуренції та діяльності Антимонопольного комітету України“ від 9 серпня 2023 року № 3295–IX </w:t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на підставі пункту 4 статті 62 Закону України „Про Конституційний Суд</w:t>
      </w:r>
      <w:r w:rsid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/>
      </w: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України“ – неприйнятність конституційної скарги.</w:t>
      </w:r>
    </w:p>
    <w:p w14:paraId="643C6D72" w14:textId="77777777" w:rsidR="00F9684F" w:rsidRPr="002C6E18" w:rsidRDefault="00F9684F" w:rsidP="002C6E18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  <w14:ligatures w14:val="none"/>
        </w:rPr>
      </w:pPr>
    </w:p>
    <w:p w14:paraId="7D3FAC5D" w14:textId="0394B0BF" w:rsidR="00F9684F" w:rsidRDefault="00F9684F" w:rsidP="002C6E18">
      <w:pPr>
        <w:suppressAutoHyphens/>
        <w:spacing w:after="0" w:line="36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2C6E1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 Ухвала є остаточною.</w:t>
      </w:r>
    </w:p>
    <w:p w14:paraId="7A4D5059" w14:textId="3BF12C1C" w:rsidR="002C6E18" w:rsidRDefault="002C6E18" w:rsidP="002C6E1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E35F761" w14:textId="77777777" w:rsidR="002C6E18" w:rsidRDefault="002C6E18" w:rsidP="002C6E1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53EA39E" w14:textId="7B565368" w:rsidR="002C6E18" w:rsidRDefault="002C6E18" w:rsidP="002C6E1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5909C4C" w14:textId="77777777" w:rsidR="00770EE7" w:rsidRPr="00770EE7" w:rsidRDefault="00770EE7" w:rsidP="00770EE7">
      <w:pPr>
        <w:suppressAutoHyphens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bookmarkStart w:id="4" w:name="_GoBack"/>
      <w:r w:rsidRPr="00770EE7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Друга колегія суддів</w:t>
      </w:r>
    </w:p>
    <w:p w14:paraId="5B68F7D4" w14:textId="77777777" w:rsidR="00770EE7" w:rsidRPr="00770EE7" w:rsidRDefault="00770EE7" w:rsidP="00770EE7">
      <w:pPr>
        <w:suppressAutoHyphens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 w:rsidRPr="00770EE7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Першого сенату</w:t>
      </w:r>
    </w:p>
    <w:p w14:paraId="39CAA994" w14:textId="6DF7EDC1" w:rsidR="002C6E18" w:rsidRPr="00770EE7" w:rsidRDefault="00770EE7" w:rsidP="00770EE7">
      <w:pPr>
        <w:suppressAutoHyphens/>
        <w:spacing w:after="0" w:line="240" w:lineRule="auto"/>
        <w:ind w:left="4248"/>
        <w:jc w:val="center"/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</w:pPr>
      <w:r w:rsidRPr="00770EE7">
        <w:rPr>
          <w:rFonts w:ascii="Times New Roman" w:eastAsia="Calibri" w:hAnsi="Times New Roman" w:cs="Times New Roman"/>
          <w:b/>
          <w:caps/>
          <w:kern w:val="0"/>
          <w:sz w:val="28"/>
          <w:szCs w:val="28"/>
          <w14:ligatures w14:val="none"/>
        </w:rPr>
        <w:t>Конституційного Суду України</w:t>
      </w:r>
      <w:bookmarkEnd w:id="4"/>
    </w:p>
    <w:sectPr w:rsidR="002C6E18" w:rsidRPr="00770EE7" w:rsidSect="002C6E18">
      <w:headerReference w:type="default" r:id="rId6"/>
      <w:footerReference w:type="default" r:id="rId7"/>
      <w:footerReference w:type="first" r:id="rId8"/>
      <w:pgSz w:w="11906" w:h="16838" w:code="9"/>
      <w:pgMar w:top="1134" w:right="567" w:bottom="1134" w:left="1701" w:header="709" w:footer="709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13B37A" w14:textId="77777777" w:rsidR="002E28F5" w:rsidRDefault="002E28F5">
      <w:pPr>
        <w:spacing w:after="0" w:line="240" w:lineRule="auto"/>
      </w:pPr>
      <w:r>
        <w:separator/>
      </w:r>
    </w:p>
  </w:endnote>
  <w:endnote w:type="continuationSeparator" w:id="0">
    <w:p w14:paraId="15907C64" w14:textId="77777777" w:rsidR="002E28F5" w:rsidRDefault="002E2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42A8F" w14:textId="7AA2765C" w:rsidR="002C6E18" w:rsidRPr="002C6E18" w:rsidRDefault="002C6E18">
    <w:pPr>
      <w:pStyle w:val="af2"/>
      <w:rPr>
        <w:rFonts w:ascii="Times New Roman" w:hAnsi="Times New Roman" w:cs="Times New Roman"/>
        <w:sz w:val="10"/>
        <w:szCs w:val="10"/>
      </w:rPr>
    </w:pPr>
    <w:r w:rsidRPr="002C6E18">
      <w:rPr>
        <w:rFonts w:ascii="Times New Roman" w:hAnsi="Times New Roman" w:cs="Times New Roman"/>
        <w:sz w:val="10"/>
        <w:szCs w:val="10"/>
      </w:rPr>
      <w:fldChar w:fldCharType="begin"/>
    </w:r>
    <w:r w:rsidRPr="002C6E1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C6E18">
      <w:rPr>
        <w:rFonts w:ascii="Times New Roman" w:hAnsi="Times New Roman" w:cs="Times New Roman"/>
        <w:sz w:val="10"/>
        <w:szCs w:val="10"/>
      </w:rPr>
      <w:fldChar w:fldCharType="separate"/>
    </w:r>
    <w:r w:rsidR="00770EE7">
      <w:rPr>
        <w:rFonts w:ascii="Times New Roman" w:hAnsi="Times New Roman" w:cs="Times New Roman"/>
        <w:noProof/>
        <w:sz w:val="10"/>
        <w:szCs w:val="10"/>
      </w:rPr>
      <w:t>S:\Mashburo\2025\Suddi\I senat\II koleg\21.docx</w:t>
    </w:r>
    <w:r w:rsidRPr="002C6E1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C407D8" w14:textId="334E2C45" w:rsidR="002C6E18" w:rsidRPr="002C6E18" w:rsidRDefault="002C6E18">
    <w:pPr>
      <w:pStyle w:val="af2"/>
      <w:rPr>
        <w:rFonts w:ascii="Times New Roman" w:hAnsi="Times New Roman" w:cs="Times New Roman"/>
        <w:sz w:val="10"/>
        <w:szCs w:val="10"/>
      </w:rPr>
    </w:pPr>
    <w:r w:rsidRPr="002C6E18">
      <w:rPr>
        <w:rFonts w:ascii="Times New Roman" w:hAnsi="Times New Roman" w:cs="Times New Roman"/>
        <w:sz w:val="10"/>
        <w:szCs w:val="10"/>
      </w:rPr>
      <w:fldChar w:fldCharType="begin"/>
    </w:r>
    <w:r w:rsidRPr="002C6E18">
      <w:rPr>
        <w:rFonts w:ascii="Times New Roman" w:hAnsi="Times New Roman" w:cs="Times New Roman"/>
        <w:sz w:val="10"/>
        <w:szCs w:val="10"/>
      </w:rPr>
      <w:instrText xml:space="preserve"> FILENAME \p \* MERGEFORMAT </w:instrText>
    </w:r>
    <w:r w:rsidRPr="002C6E18">
      <w:rPr>
        <w:rFonts w:ascii="Times New Roman" w:hAnsi="Times New Roman" w:cs="Times New Roman"/>
        <w:sz w:val="10"/>
        <w:szCs w:val="10"/>
      </w:rPr>
      <w:fldChar w:fldCharType="separate"/>
    </w:r>
    <w:r w:rsidR="00770EE7">
      <w:rPr>
        <w:rFonts w:ascii="Times New Roman" w:hAnsi="Times New Roman" w:cs="Times New Roman"/>
        <w:noProof/>
        <w:sz w:val="10"/>
        <w:szCs w:val="10"/>
      </w:rPr>
      <w:t>S:\Mashburo\2025\Suddi\I senat\II koleg\21.docx</w:t>
    </w:r>
    <w:r w:rsidRPr="002C6E18">
      <w:rPr>
        <w:rFonts w:ascii="Times New Roman" w:hAnsi="Times New Roman" w:cs="Times New Roman"/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D6E704" w14:textId="77777777" w:rsidR="002E28F5" w:rsidRDefault="002E28F5">
      <w:pPr>
        <w:spacing w:after="0" w:line="240" w:lineRule="auto"/>
      </w:pPr>
      <w:r>
        <w:separator/>
      </w:r>
    </w:p>
  </w:footnote>
  <w:footnote w:type="continuationSeparator" w:id="0">
    <w:p w14:paraId="3423538C" w14:textId="77777777" w:rsidR="002E28F5" w:rsidRDefault="002E2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89119664"/>
      <w:docPartObj>
        <w:docPartGallery w:val="Page Numbers (Top of Page)"/>
        <w:docPartUnique/>
      </w:docPartObj>
    </w:sdtPr>
    <w:sdtEndPr/>
    <w:sdtContent>
      <w:p w14:paraId="067C6891" w14:textId="2E6E8E8B" w:rsidR="00F9684F" w:rsidRDefault="00F9684F">
        <w:pPr>
          <w:pStyle w:val="ae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70EE7">
          <w:rPr>
            <w:rFonts w:ascii="Times New Roman" w:hAnsi="Times New Roman" w:cs="Times New Roman"/>
            <w:noProof/>
            <w:sz w:val="28"/>
            <w:szCs w:val="28"/>
          </w:rPr>
          <w:t>5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84F"/>
    <w:rsid w:val="00032AEF"/>
    <w:rsid w:val="00074B20"/>
    <w:rsid w:val="001A0F1B"/>
    <w:rsid w:val="001D022B"/>
    <w:rsid w:val="001F78A7"/>
    <w:rsid w:val="002113BB"/>
    <w:rsid w:val="002C6E18"/>
    <w:rsid w:val="002E28F5"/>
    <w:rsid w:val="002F4093"/>
    <w:rsid w:val="0031027A"/>
    <w:rsid w:val="00354D78"/>
    <w:rsid w:val="00362E51"/>
    <w:rsid w:val="003C392B"/>
    <w:rsid w:val="004072B0"/>
    <w:rsid w:val="00445AF8"/>
    <w:rsid w:val="004C75A7"/>
    <w:rsid w:val="00587AA3"/>
    <w:rsid w:val="005A4B18"/>
    <w:rsid w:val="005A5252"/>
    <w:rsid w:val="005B40ED"/>
    <w:rsid w:val="00635222"/>
    <w:rsid w:val="00641657"/>
    <w:rsid w:val="00644E9C"/>
    <w:rsid w:val="0065300C"/>
    <w:rsid w:val="006C7A5B"/>
    <w:rsid w:val="006E617D"/>
    <w:rsid w:val="00770EE7"/>
    <w:rsid w:val="007B1A10"/>
    <w:rsid w:val="007E6453"/>
    <w:rsid w:val="00837D94"/>
    <w:rsid w:val="008C0086"/>
    <w:rsid w:val="008C0C3F"/>
    <w:rsid w:val="00915DAE"/>
    <w:rsid w:val="00A229D1"/>
    <w:rsid w:val="00A30039"/>
    <w:rsid w:val="00AA48AF"/>
    <w:rsid w:val="00B51A54"/>
    <w:rsid w:val="00B85872"/>
    <w:rsid w:val="00B85D14"/>
    <w:rsid w:val="00BA34F8"/>
    <w:rsid w:val="00C33DFD"/>
    <w:rsid w:val="00D32B5C"/>
    <w:rsid w:val="00DA56F5"/>
    <w:rsid w:val="00DC7B7A"/>
    <w:rsid w:val="00EB461A"/>
    <w:rsid w:val="00F44417"/>
    <w:rsid w:val="00F72314"/>
    <w:rsid w:val="00F9684F"/>
    <w:rsid w:val="00FF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AEB18"/>
  <w15:chartTrackingRefBased/>
  <w15:docId w15:val="{48125613-A32F-4528-8D9C-828697D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68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68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68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68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68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68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68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68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68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68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968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968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9684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9684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9684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9684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9684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9684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968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968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968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968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968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968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968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968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968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968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9684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9684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Верхній колонтитул Знак"/>
    <w:basedOn w:val="a0"/>
    <w:link w:val="ae"/>
    <w:uiPriority w:val="99"/>
    <w:rsid w:val="00F9684F"/>
  </w:style>
  <w:style w:type="paragraph" w:styleId="af0">
    <w:name w:val="Balloon Text"/>
    <w:basedOn w:val="a"/>
    <w:link w:val="af1"/>
    <w:uiPriority w:val="99"/>
    <w:semiHidden/>
    <w:unhideWhenUsed/>
    <w:rsid w:val="00635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635222"/>
    <w:rPr>
      <w:rFonts w:ascii="Segoe UI" w:hAnsi="Segoe UI" w:cs="Segoe UI"/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2C6E1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3">
    <w:name w:val="Нижній колонтитул Знак"/>
    <w:basedOn w:val="a0"/>
    <w:link w:val="af2"/>
    <w:uiPriority w:val="99"/>
    <w:rsid w:val="002C6E18"/>
  </w:style>
  <w:style w:type="table" w:styleId="af4">
    <w:name w:val="Table Grid"/>
    <w:basedOn w:val="a1"/>
    <w:uiPriority w:val="39"/>
    <w:rsid w:val="002C6E1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5205</Words>
  <Characters>2967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Богдана Дорошенко</dc:creator>
  <cp:keywords/>
  <dc:description/>
  <cp:lastModifiedBy>Валентина М. Поліщук</cp:lastModifiedBy>
  <cp:revision>5</cp:revision>
  <cp:lastPrinted>2025-10-03T07:31:00Z</cp:lastPrinted>
  <dcterms:created xsi:type="dcterms:W3CDTF">2025-10-01T08:19:00Z</dcterms:created>
  <dcterms:modified xsi:type="dcterms:W3CDTF">2025-10-03T07:31:00Z</dcterms:modified>
</cp:coreProperties>
</file>