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E582F" w:rsidRPr="00070FFE" w:rsidRDefault="00757E2A" w:rsidP="00070FFE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 відмову у відкритті конституційного провадження у справі</w:t>
      </w:r>
      <w:r w:rsid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</w:t>
      </w:r>
      <w:r w:rsid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конституційною скаргою </w:t>
      </w:r>
      <w:r w:rsidR="002F2B45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Феценець-Сарачілової Марії Михайлівни </w:t>
      </w:r>
      <w:r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щодо відповідності Констит</w:t>
      </w:r>
      <w:r w:rsidR="00DE647F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уції України (конституційності) </w:t>
      </w:r>
      <w:r w:rsidR="002F2B45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абзацу першого частини першої статті 26 З</w:t>
      </w:r>
      <w:r w:rsidR="00273D0E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акону України „Про загальнообов’</w:t>
      </w:r>
      <w:r w:rsidR="002F2B45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язкове </w:t>
      </w:r>
      <w:r w:rsid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2F2B45" w:rsidRPr="00070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державне пенсійне страхування“</w:t>
      </w:r>
    </w:p>
    <w:p w:rsidR="00757E2A" w:rsidRDefault="00757E2A" w:rsidP="00070F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024099" w:rsidRPr="00070FFE" w:rsidRDefault="00757E2A" w:rsidP="00070FF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и ї в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D155D3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Справа № 3-</w:t>
      </w:r>
      <w:r w:rsidR="002F2B4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165</w:t>
      </w:r>
      <w:r w:rsidR="00D155D3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="00CB733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D155D3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2F2B4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333</w:t>
      </w:r>
      <w:r w:rsidR="00CB733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/25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2E1483" w:rsidRPr="00070FFE" w:rsidRDefault="00DC1C8A" w:rsidP="00070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24 </w:t>
      </w:r>
      <w:r w:rsidR="0002409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вересня</w:t>
      </w:r>
      <w:r w:rsidR="00CB733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</w:t>
      </w:r>
      <w:r w:rsidR="002E1483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</w:p>
    <w:p w:rsidR="002E1483" w:rsidRPr="00070FFE" w:rsidRDefault="002F2B45" w:rsidP="00070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="00560960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</w:t>
      </w:r>
      <w:r w:rsidR="004753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615AC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-3</w:t>
      </w:r>
      <w:r w:rsidR="00CB733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(І)/2025</w:t>
      </w:r>
      <w:r w:rsidR="002E1483" w:rsidRPr="00070F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70FFE" w:rsidRPr="00070FFE" w:rsidRDefault="00070FFE" w:rsidP="00070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070FFE" w:rsidRDefault="00757E2A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сенату Конституційного Суду України у</w:t>
      </w:r>
      <w:r w:rsidR="00E3654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складі:</w:t>
      </w:r>
    </w:p>
    <w:p w:rsidR="00757E2A" w:rsidRPr="00070FFE" w:rsidRDefault="00757E2A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733D" w:rsidRPr="00070FFE" w:rsidRDefault="00CB733D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 Олександра Віталійовича – головуючого,</w:t>
      </w:r>
    </w:p>
    <w:p w:rsidR="00CB733D" w:rsidRPr="00070FFE" w:rsidRDefault="00CB733D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Кичуна Віктора Івановича,</w:t>
      </w:r>
    </w:p>
    <w:p w:rsidR="00CB733D" w:rsidRPr="00070FFE" w:rsidRDefault="00CB733D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757E2A" w:rsidRPr="00070FFE" w:rsidRDefault="00757E2A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Default="00757E2A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Феценець-Сарачілової Марії Михайлівни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щодо відповідності Констит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уції України (конституційності)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абзацу першого частини першої статті 26 Закону України „Про загальнообов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’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язкове державне пенсійне страхування“ від 9</w:t>
      </w:r>
      <w:r w:rsidR="00F13B2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 2003</w:t>
      </w:r>
      <w:r w:rsidR="00F13B2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13B2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1058</w:t>
      </w:r>
      <w:r w:rsidR="00F13B2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7E582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I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V</w:t>
      </w:r>
      <w:r w:rsidR="007E582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42B6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(Відомо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сті Верховної Ради України, 2003</w:t>
      </w:r>
      <w:r w:rsidR="00442B6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р., №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442B6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49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51</w:t>
      </w:r>
      <w:r w:rsidR="00442B6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ст.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376)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змінами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070FFE" w:rsidRPr="00070FFE" w:rsidRDefault="00070FFE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Default="00757E2A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Заслуха</w:t>
      </w:r>
      <w:r w:rsidR="00DD4FF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вши суддю-доповідача Олійник А.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 та дослідивши матеріали справи, Третя колегія суддів Першого сенату Конституційного Суду України</w:t>
      </w:r>
    </w:p>
    <w:p w:rsidR="00070FFE" w:rsidRPr="00070FFE" w:rsidRDefault="00070FFE" w:rsidP="0007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070FFE" w:rsidRDefault="00757E2A" w:rsidP="00070FF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FA3AE8" w:rsidRPr="00070FFE" w:rsidRDefault="00FA3AE8" w:rsidP="00070FFE">
      <w:pPr>
        <w:keepNext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63A61" w:rsidRPr="00070FFE" w:rsidRDefault="00757E2A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До Конституційного Суду України зверну</w:t>
      </w:r>
      <w:r w:rsidR="00963A61"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лася</w:t>
      </w:r>
      <w:r w:rsidR="00A05E74"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 w:rsidR="00963A61"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Феценець-Сарачілова</w:t>
      </w:r>
      <w:r w:rsidR="00070FFE"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 w:rsidR="00683273" w:rsidRPr="00A05E74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М.М.</w:t>
      </w:r>
      <w:r w:rsidR="00683273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46F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клопотанням перевірити на відповідність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частині другій ст</w:t>
      </w:r>
      <w:r w:rsidR="007B288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атті 8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22FB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Конституції </w:t>
      </w:r>
      <w:r w:rsidR="00C22FB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України</w:t>
      </w:r>
      <w:r w:rsidR="007B288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(конституційність)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перш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частини першої статті 26 З</w:t>
      </w:r>
      <w:r w:rsidR="00273D0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акону України „Про загальнообов’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язкове державне пенсійне страхування“ від 9 липня 2003 року № 1058–IV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зі змінами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3288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(далі</w:t>
      </w:r>
      <w:r w:rsidR="00A03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3288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A03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3288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</w:t>
      </w:r>
      <w:r w:rsidR="00963A61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963A6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D3288" w:rsidRPr="00070FFE" w:rsidRDefault="008D3288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D3288" w:rsidRPr="00070FFE" w:rsidRDefault="008D3288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Відповідно до абзацу першого частини першої статті 26 Закону ,,особи мають право на призначення пенсії за віком після досягнення віку 60 років за</w:t>
      </w:r>
      <w:r w:rsidR="00273D0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наявності страхового стажу не менше 15 років по 31 грудня 2017 року“.</w:t>
      </w:r>
    </w:p>
    <w:p w:rsidR="00906B3A" w:rsidRPr="00070FFE" w:rsidRDefault="00906B3A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070FFE" w:rsidRDefault="00757E2A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5D17B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 змісту конституційної скарги та долучених до неї матеріалів убачається таке.</w:t>
      </w:r>
    </w:p>
    <w:p w:rsidR="008D3288" w:rsidRPr="00070FFE" w:rsidRDefault="008D3288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Феценець-Сарачілова М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звернулася до 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Івано-Франківського окружного адміністративного суду з позовом до Головного управління Пенсійного фонду України в Івано-Франківській області, Головного управління Пенсійного фонду України у Львівській області про визнання дій протиправним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зобов’язання вчинити дії,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якому просила визнати протиправним та скасувати 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рішення</w:t>
      </w:r>
      <w:r w:rsidR="0033350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Головного управління Пенсійного фонду України у Львівській області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 20 лютого 2024 року № 0916300018878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відмову у призначенні пенсії за</w:t>
      </w:r>
      <w:r w:rsidR="0033350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віком та зобов’язати при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значити пенсію за віком з 12 лютого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D3288" w:rsidRPr="00070FFE" w:rsidRDefault="008D3288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Івано-Франківськ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окружн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адміністративн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 суд рішенням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24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червня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залишеним без змін постановою Восьмого апеляційного а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дміністративного суду від 25 червня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FE529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року, у позові відмовив.</w:t>
      </w:r>
    </w:p>
    <w:p w:rsidR="008D3288" w:rsidRPr="00070FFE" w:rsidRDefault="00FE529B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Суди першої та апеляційної інстанцій, відмов</w:t>
      </w:r>
      <w:r w:rsidR="00070FFE"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ивши</w:t>
      </w:r>
      <w:r w:rsidR="00A05E74"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 </w:t>
      </w:r>
      <w:r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Феценець-</w:t>
      </w:r>
      <w:r w:rsidR="007D6A32"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С</w:t>
      </w:r>
      <w:r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арачіловій</w:t>
      </w:r>
      <w:r w:rsidR="00070FFE"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 xml:space="preserve"> </w:t>
      </w:r>
      <w:r w:rsidRPr="00A05E7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  <w:lang w:eastAsia="ru-RU"/>
        </w:rPr>
        <w:t>М.М.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позові, керувалися тим, що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дату звер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нення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заявою про призначення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пенсії Феценець-Сарачілова М.М. не досягла віку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60 років,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становленого статтею 26 Закону, то</w:t>
      </w:r>
      <w:r w:rsidR="00792CB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 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рішення Головного управління Пенсійного фонду України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Львівській області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 20 лютого 2024 року 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273D0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0916300018878 про відмову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8D328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призначенні пенсії не підлягає скасуванню.</w:t>
      </w:r>
    </w:p>
    <w:p w:rsidR="00FE529B" w:rsidRPr="00070FFE" w:rsidRDefault="00FE529B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Верховний Суд у складі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колегії суддів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Касаційного адміністративного суду ухвалою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 2025 року відмовив у відкритті касаційного провадження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касаційною с</w:t>
      </w:r>
      <w:r w:rsidR="00792CB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каргою  Феценець-Сарачілов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ої</w:t>
      </w:r>
      <w:r w:rsidR="00792CB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</w:t>
      </w:r>
      <w:r w:rsidR="008F7E0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оскільки 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касаційну скаргу подано на судове рішення</w:t>
      </w:r>
      <w:r w:rsidR="008F7E0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що не підляга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</w:t>
      </w:r>
      <w:r w:rsidR="008F7E0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касаційному оскарженню.</w:t>
      </w:r>
    </w:p>
    <w:p w:rsidR="008D3288" w:rsidRPr="00070FFE" w:rsidRDefault="008D3288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52ADB" w:rsidRPr="00070FFE" w:rsidRDefault="00ED4422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100C5A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2C041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Обґрунтовуючи твердження щодо невід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повідності Конституції України </w:t>
      </w:r>
      <w:r w:rsidR="00FD45E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оспорюван</w:t>
      </w:r>
      <w:r w:rsidR="008420C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="002C041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D45E1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</w:t>
      </w:r>
      <w:r w:rsidR="008420C7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83229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Закону,</w:t>
      </w:r>
      <w:r w:rsidR="00FD609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4416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суб’єкт</w:t>
      </w:r>
      <w:r w:rsidR="00FB085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на конституційну скаргу</w:t>
      </w:r>
      <w:r w:rsidR="00FD609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зазначає, щ</w:t>
      </w:r>
      <w:r w:rsidR="00100C5A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602828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згідно з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ею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26 Закону </w:t>
      </w:r>
      <w:r w:rsidR="00F83525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 на пенсію мають жінки після досягнення 60 річного віку, яким звужено соціальні права, а саме збільшено  граничний  вік особи для виходу на пенсію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водночас відповідно до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12 Закону України </w:t>
      </w:r>
      <w:r w:rsidR="00F83525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пенсійне забезпечення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273D0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83525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 на пенсію за віком мають:</w:t>
      </w:r>
      <w:r w:rsidR="00E472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чоловіки – після досягнення 60 років і при стажі роботи не менше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років;</w:t>
      </w:r>
      <w:r w:rsidR="00E4723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жінки –</w:t>
      </w:r>
      <w:r w:rsidR="00F8352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після досягнення 55 років і при стажі роботи не менше 20 років, в</w:t>
      </w:r>
      <w:r w:rsidR="00A032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частині звуження соціальних прав жінок</w:t>
      </w:r>
      <w:r w:rsidR="00F83525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F83525" w:rsidRPr="00070FFE" w:rsidRDefault="00852ADB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Феценець-Сарачілов</w:t>
      </w:r>
      <w:r w:rsidR="00F8352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М.М. наголошує, що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83525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CA266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розпочинаючи свою трудову діяльність 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&lt;…&gt;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об’</w:t>
      </w:r>
      <w:r w:rsidR="00CA266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єктивно передбачала настання відповідних наслідків, а саме призначення пенсій у віці 55 років &lt;…&gt; зміна умов призначення пенсії за віком жінкам призвела до такого нормативного регулювання призначення пенсії, яке суттєво вплинуло на очікування</w:t>
      </w:r>
      <w:r w:rsidR="007D6A32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="00F8352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що порушує принцип верховенства права, складовою якого є юридична визначеність.</w:t>
      </w:r>
    </w:p>
    <w:p w:rsidR="00963ED2" w:rsidRPr="00070FFE" w:rsidRDefault="007239D5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="00B71CE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підтвердження своїх доводів суб’</w:t>
      </w: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єкт права на конституційну скаргу посилається </w:t>
      </w:r>
      <w:r w:rsidR="00A3336E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окре</w:t>
      </w:r>
      <w:r w:rsidR="00F41555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 приписи Конституції України,</w:t>
      </w:r>
      <w:r w:rsidR="000471A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акон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України </w:t>
      </w:r>
      <w:r w:rsidR="00C9703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правотворчу діяльність</w:t>
      </w:r>
      <w:r w:rsidR="00C9703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“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73D0E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„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пенсійне забезпечення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852ADB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</w:t>
      </w:r>
      <w:r w:rsidR="00234566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963ED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адміністративного судочинства України, на рішення Конституційного Суду України, практику Європейського суду з прав людини, а також на судові рішення у своїй справі та у справах інших осіб.</w:t>
      </w:r>
      <w:r w:rsidR="00C9703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63ED2" w:rsidRPr="00070FFE" w:rsidRDefault="00963ED2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86704" w:rsidRPr="00070FFE" w:rsidRDefault="00F41555" w:rsidP="00070F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B8670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Вирішуючи питання щодо відкриття конституційного провадження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8670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A05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6704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справі, Третя колегія суддів Першого сенату Конституційного Суду України керується таким.</w:t>
      </w:r>
    </w:p>
    <w:p w:rsidR="000C55A9" w:rsidRPr="00070FFE" w:rsidRDefault="00B86704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Відповідно до Закону України „Про Конституційний Суд України“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конституційною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скаргою є п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одане до Конституційного Суду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письмов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 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клопотання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одо перевірки на відповідність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Конституції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 (конституційність) закону України (його окремих положень),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C266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що 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застосований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остаточ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ному судовому рішенні у справі 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суб’єкта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права на 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конституційну</w:t>
      </w:r>
      <w:r w:rsidR="000C55A9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скаргу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(частина перша</w:t>
      </w:r>
      <w:r w:rsidR="007C266F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</w:t>
      </w:r>
      <w:r w:rsidR="00BF667C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55);</w:t>
      </w: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конституційна скарга має містити обґрунтування тверджень щодо неконституційності закону України (його окремих </w:t>
      </w:r>
      <w:r w:rsidR="007D6A32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положень</w:t>
      </w: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із зазначенням того, яке з гарантованих Конституцією України прав людини,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думку суб’єкта права на конституційну скаргу, зазнало порушення внаслідок застосування закону (пун</w:t>
      </w:r>
      <w:r w:rsidR="00033F5E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кт 6 частини другої статті 55);</w:t>
      </w:r>
      <w:r w:rsidR="00BF667C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конституційна скарга вважається 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прийнятною за умов її відпов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ідності </w:t>
      </w:r>
      <w:r w:rsidR="00BF667C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вимогам, передбаченим 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статтями 55, 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56 цього закону (абзац перший </w:t>
      </w:r>
      <w:r w:rsidR="000C55A9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частини першої статті 77).</w:t>
      </w:r>
    </w:p>
    <w:p w:rsidR="00906E00" w:rsidRPr="00070FFE" w:rsidRDefault="00D46880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Зі </w:t>
      </w:r>
      <w:r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змісту конституційної скарги вбачається, що </w:t>
      </w:r>
      <w:r w:rsidR="00C9703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Феценець-Сарачілова М.М.</w:t>
      </w:r>
      <w:r w:rsidR="0088673F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</w:t>
      </w:r>
      <w:r w:rsidR="0088673F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703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навела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обґрунтування тв</w:t>
      </w:r>
      <w:r w:rsidR="000471A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ерджень щодо неконституційності </w:t>
      </w:r>
      <w:r w:rsidR="00C9703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абзацу першого частини першої статті 26 Закону</w:t>
      </w:r>
      <w:r w:rsidR="00273D0E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порушення своїх конституційних прав,</w:t>
      </w:r>
      <w:r w:rsid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фактично вислови</w:t>
      </w:r>
      <w:r w:rsidR="008C2108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 незгоду із законодавчим </w:t>
      </w:r>
      <w:r w:rsidR="007D6A32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C2108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регулюванням питання поря</w:t>
      </w:r>
      <w:r w:rsidR="00273D0E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дку призначення пенсій за віком</w:t>
      </w:r>
      <w:r w:rsidR="00906E00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чим не дотримала вимог пункту 6 частини другої статті 55 Закону України „Про Конституційний Суд України“.</w:t>
      </w:r>
    </w:p>
    <w:p w:rsidR="00FB2419" w:rsidRPr="00070FFE" w:rsidRDefault="00BF667C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Наведене є </w:t>
      </w:r>
      <w:r w:rsidR="00FB2419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підставою для відмови у відкритті конституційного провадження</w:t>
      </w:r>
      <w:r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2419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справі згід</w:t>
      </w:r>
      <w:r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з пунктом 4 статті 62 Закону</w:t>
      </w:r>
      <w:r w:rsidR="00FB2419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України</w:t>
      </w:r>
      <w:r w:rsid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FB2419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„Про</w:t>
      </w:r>
      <w:r w:rsid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2419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України“ – неприйнятність  конституційної скарги.</w:t>
      </w:r>
    </w:p>
    <w:p w:rsidR="005739AD" w:rsidRPr="00070FFE" w:rsidRDefault="005739AD" w:rsidP="00A032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86704" w:rsidRDefault="00BF667C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Ураховуючи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викладен</w:t>
      </w:r>
      <w:r w:rsidR="00F41555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та керуючись статтями 147, </w:t>
      </w:r>
      <w:r w:rsidR="00E66A6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="00E66A6D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153 Конституції України, на підставі статей 7, 32, 37, 50, 55, 56, 58, 61, </w:t>
      </w:r>
      <w:r w:rsidR="0006104C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62, 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77,</w:t>
      </w:r>
      <w:r w:rsidR="00407BB7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83, 86 Закону України „Про Конституційний Суд України“, відповідно до § 45, §</w:t>
      </w:r>
      <w:r w:rsid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A03246" w:rsidRPr="00070FFE" w:rsidRDefault="00A03246" w:rsidP="00A032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86704" w:rsidRPr="00070FFE" w:rsidRDefault="0088673F" w:rsidP="00070F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70F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 о с т н о в и л а</w:t>
      </w:r>
      <w:r w:rsidR="00B86704" w:rsidRPr="00070F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070FFE" w:rsidRDefault="00070FFE" w:rsidP="00A032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B86704" w:rsidRPr="00070FFE" w:rsidRDefault="005739AD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 </w:t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Відмовити у відкритті конституційного провадження у справі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конституційною скаргою</w:t>
      </w:r>
      <w:r w:rsidR="00222D4A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C2108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Феценець-Сарачілової Марії Михайлівни </w:t>
      </w:r>
      <w:r w:rsidR="00222D4A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щодо відповідності Конституції України (конституційності) </w:t>
      </w:r>
      <w:r w:rsidR="008C2108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абзацу першого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="008C2108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частини першої статті 26 Закону України „Про загальнообов</w:t>
      </w:r>
      <w:r w:rsidR="007D6A32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’</w:t>
      </w:r>
      <w:r w:rsidR="008C2108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язкове державне пенсійне страхування“</w:t>
      </w:r>
      <w:r w:rsidR="007D6A32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D6A32" w:rsidRPr="00070F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 9 липня 2003 року № 1058–IV зі змінами</w:t>
      </w:r>
      <w:r w:rsidR="007D6A32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підставі пункту 4</w:t>
      </w:r>
      <w:r w:rsid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86704"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B86704" w:rsidRPr="00070FFE" w:rsidRDefault="00B86704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7363F" w:rsidRDefault="00B86704" w:rsidP="00070F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70FF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остаточною.</w:t>
      </w:r>
    </w:p>
    <w:p w:rsidR="00070FFE" w:rsidRDefault="00070FFE" w:rsidP="00070F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70FFE" w:rsidRDefault="00070FFE" w:rsidP="00070F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3A548C" w:rsidRPr="003A548C" w:rsidRDefault="003A548C" w:rsidP="003A548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3A548C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Третя колегія суддів</w:t>
      </w:r>
    </w:p>
    <w:p w:rsidR="003A548C" w:rsidRPr="003A548C" w:rsidRDefault="003A548C" w:rsidP="003A548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r w:rsidRPr="003A548C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Першого сенату</w:t>
      </w:r>
    </w:p>
    <w:p w:rsidR="00070FFE" w:rsidRPr="003A548C" w:rsidRDefault="003A548C" w:rsidP="003A548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  <w:sz w:val="28"/>
          <w:szCs w:val="28"/>
        </w:rPr>
      </w:pPr>
      <w:r w:rsidRPr="003A548C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Конституційного Суду України</w:t>
      </w:r>
      <w:bookmarkEnd w:id="0"/>
    </w:p>
    <w:sectPr w:rsidR="00070FFE" w:rsidRPr="003A548C" w:rsidSect="00070FFE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60" w:rsidRDefault="002F2C60" w:rsidP="00D30EFD">
      <w:pPr>
        <w:spacing w:after="0" w:line="240" w:lineRule="auto"/>
      </w:pPr>
      <w:r>
        <w:separator/>
      </w:r>
    </w:p>
  </w:endnote>
  <w:endnote w:type="continuationSeparator" w:id="0">
    <w:p w:rsidR="002F2C60" w:rsidRDefault="002F2C60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FE" w:rsidRPr="00070FFE" w:rsidRDefault="00070FFE">
    <w:pPr>
      <w:pStyle w:val="a9"/>
      <w:rPr>
        <w:rFonts w:ascii="Times New Roman" w:hAnsi="Times New Roman" w:cs="Times New Roman"/>
        <w:sz w:val="10"/>
        <w:szCs w:val="10"/>
      </w:rPr>
    </w:pPr>
    <w:r w:rsidRPr="00070FFE">
      <w:rPr>
        <w:rFonts w:ascii="Times New Roman" w:hAnsi="Times New Roman" w:cs="Times New Roman"/>
        <w:sz w:val="10"/>
        <w:szCs w:val="10"/>
      </w:rPr>
      <w:fldChar w:fldCharType="begin"/>
    </w:r>
    <w:r w:rsidRPr="00070FF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70FFE">
      <w:rPr>
        <w:rFonts w:ascii="Times New Roman" w:hAnsi="Times New Roman" w:cs="Times New Roman"/>
        <w:sz w:val="10"/>
        <w:szCs w:val="10"/>
      </w:rPr>
      <w:fldChar w:fldCharType="separate"/>
    </w:r>
    <w:r w:rsidR="003A548C">
      <w:rPr>
        <w:rFonts w:ascii="Times New Roman" w:hAnsi="Times New Roman" w:cs="Times New Roman"/>
        <w:noProof/>
        <w:sz w:val="10"/>
        <w:szCs w:val="10"/>
      </w:rPr>
      <w:t>S:\Mashburo\2025\Suddi\I senat\III koleg\32.docx</w:t>
    </w:r>
    <w:r w:rsidRPr="00070FF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FE" w:rsidRPr="00070FFE" w:rsidRDefault="00070FFE">
    <w:pPr>
      <w:pStyle w:val="a9"/>
      <w:rPr>
        <w:rFonts w:ascii="Times New Roman" w:hAnsi="Times New Roman" w:cs="Times New Roman"/>
        <w:sz w:val="10"/>
        <w:szCs w:val="10"/>
      </w:rPr>
    </w:pPr>
    <w:r w:rsidRPr="00070FFE">
      <w:rPr>
        <w:rFonts w:ascii="Times New Roman" w:hAnsi="Times New Roman" w:cs="Times New Roman"/>
        <w:sz w:val="10"/>
        <w:szCs w:val="10"/>
      </w:rPr>
      <w:fldChar w:fldCharType="begin"/>
    </w:r>
    <w:r w:rsidRPr="00070FF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70FFE">
      <w:rPr>
        <w:rFonts w:ascii="Times New Roman" w:hAnsi="Times New Roman" w:cs="Times New Roman"/>
        <w:sz w:val="10"/>
        <w:szCs w:val="10"/>
      </w:rPr>
      <w:fldChar w:fldCharType="separate"/>
    </w:r>
    <w:r w:rsidR="003A548C">
      <w:rPr>
        <w:rFonts w:ascii="Times New Roman" w:hAnsi="Times New Roman" w:cs="Times New Roman"/>
        <w:noProof/>
        <w:sz w:val="10"/>
        <w:szCs w:val="10"/>
      </w:rPr>
      <w:t>S:\Mashburo\2025\Suddi\I senat\III koleg\32.docx</w:t>
    </w:r>
    <w:r w:rsidRPr="00070FF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60" w:rsidRDefault="002F2C60" w:rsidP="00D30EFD">
      <w:pPr>
        <w:spacing w:after="0" w:line="240" w:lineRule="auto"/>
      </w:pPr>
      <w:r>
        <w:separator/>
      </w:r>
    </w:p>
  </w:footnote>
  <w:footnote w:type="continuationSeparator" w:id="0">
    <w:p w:rsidR="002F2C60" w:rsidRDefault="002F2C60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031D" w:rsidRPr="00070FFE" w:rsidRDefault="007D031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F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F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F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548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F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1369F"/>
    <w:rsid w:val="00024099"/>
    <w:rsid w:val="00033F5E"/>
    <w:rsid w:val="000471A4"/>
    <w:rsid w:val="0006094F"/>
    <w:rsid w:val="0006104C"/>
    <w:rsid w:val="00070FFE"/>
    <w:rsid w:val="0007363F"/>
    <w:rsid w:val="00083375"/>
    <w:rsid w:val="0008744E"/>
    <w:rsid w:val="0009164D"/>
    <w:rsid w:val="00097E6C"/>
    <w:rsid w:val="000C3A45"/>
    <w:rsid w:val="000C55A9"/>
    <w:rsid w:val="000C7570"/>
    <w:rsid w:val="000C7999"/>
    <w:rsid w:val="000E15C2"/>
    <w:rsid w:val="00100C5A"/>
    <w:rsid w:val="00105967"/>
    <w:rsid w:val="001142BC"/>
    <w:rsid w:val="001358E4"/>
    <w:rsid w:val="0014713B"/>
    <w:rsid w:val="00150448"/>
    <w:rsid w:val="00153308"/>
    <w:rsid w:val="00162008"/>
    <w:rsid w:val="001703E8"/>
    <w:rsid w:val="001731E7"/>
    <w:rsid w:val="00174768"/>
    <w:rsid w:val="0018140D"/>
    <w:rsid w:val="00182E30"/>
    <w:rsid w:val="0018527C"/>
    <w:rsid w:val="00185FD2"/>
    <w:rsid w:val="0019649B"/>
    <w:rsid w:val="001A4529"/>
    <w:rsid w:val="001B5362"/>
    <w:rsid w:val="001E12CB"/>
    <w:rsid w:val="0020121D"/>
    <w:rsid w:val="00205234"/>
    <w:rsid w:val="00205310"/>
    <w:rsid w:val="00206BA1"/>
    <w:rsid w:val="00222D4A"/>
    <w:rsid w:val="00223AD9"/>
    <w:rsid w:val="002262E4"/>
    <w:rsid w:val="00234566"/>
    <w:rsid w:val="002528D0"/>
    <w:rsid w:val="00261ED7"/>
    <w:rsid w:val="002623CF"/>
    <w:rsid w:val="00273D0E"/>
    <w:rsid w:val="002A58B3"/>
    <w:rsid w:val="002B059C"/>
    <w:rsid w:val="002C0417"/>
    <w:rsid w:val="002C6BFA"/>
    <w:rsid w:val="002D70DD"/>
    <w:rsid w:val="002E1483"/>
    <w:rsid w:val="002E1687"/>
    <w:rsid w:val="002E1FFD"/>
    <w:rsid w:val="002E5FFE"/>
    <w:rsid w:val="002F2B45"/>
    <w:rsid w:val="002F2C60"/>
    <w:rsid w:val="002F3E2A"/>
    <w:rsid w:val="002F53D1"/>
    <w:rsid w:val="00306CB5"/>
    <w:rsid w:val="00317039"/>
    <w:rsid w:val="00333505"/>
    <w:rsid w:val="00337424"/>
    <w:rsid w:val="003430A7"/>
    <w:rsid w:val="0035230C"/>
    <w:rsid w:val="00361DB5"/>
    <w:rsid w:val="00370031"/>
    <w:rsid w:val="00371327"/>
    <w:rsid w:val="003842E4"/>
    <w:rsid w:val="0039028B"/>
    <w:rsid w:val="00392C9D"/>
    <w:rsid w:val="003A3478"/>
    <w:rsid w:val="003A548C"/>
    <w:rsid w:val="003B46E2"/>
    <w:rsid w:val="003E0EE6"/>
    <w:rsid w:val="003E4CF1"/>
    <w:rsid w:val="003F1271"/>
    <w:rsid w:val="00402AC1"/>
    <w:rsid w:val="00406766"/>
    <w:rsid w:val="00407BB7"/>
    <w:rsid w:val="00417D29"/>
    <w:rsid w:val="00422234"/>
    <w:rsid w:val="004320A9"/>
    <w:rsid w:val="00442B68"/>
    <w:rsid w:val="0046600A"/>
    <w:rsid w:val="00475387"/>
    <w:rsid w:val="00490C53"/>
    <w:rsid w:val="00496352"/>
    <w:rsid w:val="004B0C48"/>
    <w:rsid w:val="004C38C7"/>
    <w:rsid w:val="004C555E"/>
    <w:rsid w:val="004D1098"/>
    <w:rsid w:val="004F286D"/>
    <w:rsid w:val="004F529B"/>
    <w:rsid w:val="004F559D"/>
    <w:rsid w:val="00502B73"/>
    <w:rsid w:val="005142BA"/>
    <w:rsid w:val="005147FC"/>
    <w:rsid w:val="00521C71"/>
    <w:rsid w:val="00522C45"/>
    <w:rsid w:val="0052339D"/>
    <w:rsid w:val="00531AF3"/>
    <w:rsid w:val="00535033"/>
    <w:rsid w:val="005568FF"/>
    <w:rsid w:val="00560960"/>
    <w:rsid w:val="00563860"/>
    <w:rsid w:val="005739AD"/>
    <w:rsid w:val="00574BF7"/>
    <w:rsid w:val="00575EA2"/>
    <w:rsid w:val="00594949"/>
    <w:rsid w:val="005D17B5"/>
    <w:rsid w:val="005D1D5F"/>
    <w:rsid w:val="005D65A8"/>
    <w:rsid w:val="005D7225"/>
    <w:rsid w:val="005E362B"/>
    <w:rsid w:val="00602828"/>
    <w:rsid w:val="00606CB6"/>
    <w:rsid w:val="00615AC1"/>
    <w:rsid w:val="00632309"/>
    <w:rsid w:val="0066783C"/>
    <w:rsid w:val="006765CF"/>
    <w:rsid w:val="00683273"/>
    <w:rsid w:val="006909C7"/>
    <w:rsid w:val="00695A8C"/>
    <w:rsid w:val="006A0BE0"/>
    <w:rsid w:val="006C2F5E"/>
    <w:rsid w:val="006D15A7"/>
    <w:rsid w:val="006E4C6C"/>
    <w:rsid w:val="006E7AA0"/>
    <w:rsid w:val="006E7E00"/>
    <w:rsid w:val="006F24B8"/>
    <w:rsid w:val="00703439"/>
    <w:rsid w:val="00703970"/>
    <w:rsid w:val="00723994"/>
    <w:rsid w:val="007239D5"/>
    <w:rsid w:val="00723EE9"/>
    <w:rsid w:val="00757E2A"/>
    <w:rsid w:val="00762B9B"/>
    <w:rsid w:val="007849EF"/>
    <w:rsid w:val="00792CB9"/>
    <w:rsid w:val="00793CD5"/>
    <w:rsid w:val="00796855"/>
    <w:rsid w:val="007A3CDE"/>
    <w:rsid w:val="007B2886"/>
    <w:rsid w:val="007B6B8B"/>
    <w:rsid w:val="007C266F"/>
    <w:rsid w:val="007D031D"/>
    <w:rsid w:val="007D40F9"/>
    <w:rsid w:val="007D6A32"/>
    <w:rsid w:val="007E0544"/>
    <w:rsid w:val="007E066C"/>
    <w:rsid w:val="007E582F"/>
    <w:rsid w:val="007F4421"/>
    <w:rsid w:val="00820AAA"/>
    <w:rsid w:val="00826A6C"/>
    <w:rsid w:val="0082771E"/>
    <w:rsid w:val="0083076D"/>
    <w:rsid w:val="00832295"/>
    <w:rsid w:val="008420C7"/>
    <w:rsid w:val="008519EF"/>
    <w:rsid w:val="00852ADB"/>
    <w:rsid w:val="008604B1"/>
    <w:rsid w:val="008606A0"/>
    <w:rsid w:val="008617BD"/>
    <w:rsid w:val="00881155"/>
    <w:rsid w:val="0088518B"/>
    <w:rsid w:val="0088673F"/>
    <w:rsid w:val="00887019"/>
    <w:rsid w:val="008940C9"/>
    <w:rsid w:val="00894F77"/>
    <w:rsid w:val="008A0C2B"/>
    <w:rsid w:val="008A11E9"/>
    <w:rsid w:val="008C2108"/>
    <w:rsid w:val="008C2F88"/>
    <w:rsid w:val="008C675B"/>
    <w:rsid w:val="008D3288"/>
    <w:rsid w:val="008D56B5"/>
    <w:rsid w:val="008E1064"/>
    <w:rsid w:val="008E2CCC"/>
    <w:rsid w:val="008F277A"/>
    <w:rsid w:val="008F2B49"/>
    <w:rsid w:val="008F5182"/>
    <w:rsid w:val="008F7E0D"/>
    <w:rsid w:val="0090125B"/>
    <w:rsid w:val="00904EF0"/>
    <w:rsid w:val="00906B3A"/>
    <w:rsid w:val="00906E00"/>
    <w:rsid w:val="0091430B"/>
    <w:rsid w:val="0091520F"/>
    <w:rsid w:val="00940AE8"/>
    <w:rsid w:val="00954C67"/>
    <w:rsid w:val="00961554"/>
    <w:rsid w:val="00963A61"/>
    <w:rsid w:val="00963ED2"/>
    <w:rsid w:val="00974D60"/>
    <w:rsid w:val="009A2BA0"/>
    <w:rsid w:val="009B276E"/>
    <w:rsid w:val="009F509D"/>
    <w:rsid w:val="00A03246"/>
    <w:rsid w:val="00A05E74"/>
    <w:rsid w:val="00A06BCF"/>
    <w:rsid w:val="00A109C8"/>
    <w:rsid w:val="00A14E29"/>
    <w:rsid w:val="00A16520"/>
    <w:rsid w:val="00A32944"/>
    <w:rsid w:val="00A3336E"/>
    <w:rsid w:val="00A36840"/>
    <w:rsid w:val="00A44B79"/>
    <w:rsid w:val="00A46669"/>
    <w:rsid w:val="00A714D4"/>
    <w:rsid w:val="00A71F0F"/>
    <w:rsid w:val="00A80C7A"/>
    <w:rsid w:val="00A90BCE"/>
    <w:rsid w:val="00A935A4"/>
    <w:rsid w:val="00AC38EB"/>
    <w:rsid w:val="00AD0187"/>
    <w:rsid w:val="00AD0F53"/>
    <w:rsid w:val="00AD6739"/>
    <w:rsid w:val="00AF53C1"/>
    <w:rsid w:val="00B01E57"/>
    <w:rsid w:val="00B046D5"/>
    <w:rsid w:val="00B07DDA"/>
    <w:rsid w:val="00B11307"/>
    <w:rsid w:val="00B11DF7"/>
    <w:rsid w:val="00B12564"/>
    <w:rsid w:val="00B14B9A"/>
    <w:rsid w:val="00B15C9F"/>
    <w:rsid w:val="00B21048"/>
    <w:rsid w:val="00B23FD0"/>
    <w:rsid w:val="00B34F4F"/>
    <w:rsid w:val="00B53CB5"/>
    <w:rsid w:val="00B664D3"/>
    <w:rsid w:val="00B679CF"/>
    <w:rsid w:val="00B71CEC"/>
    <w:rsid w:val="00B85A12"/>
    <w:rsid w:val="00B86704"/>
    <w:rsid w:val="00BA50E0"/>
    <w:rsid w:val="00BB2AC6"/>
    <w:rsid w:val="00BB6A38"/>
    <w:rsid w:val="00BB79CF"/>
    <w:rsid w:val="00BC333A"/>
    <w:rsid w:val="00BC3665"/>
    <w:rsid w:val="00BD755D"/>
    <w:rsid w:val="00BF2E5C"/>
    <w:rsid w:val="00BF667C"/>
    <w:rsid w:val="00BF6ADD"/>
    <w:rsid w:val="00C22FBE"/>
    <w:rsid w:val="00C43806"/>
    <w:rsid w:val="00C446F4"/>
    <w:rsid w:val="00C45EA5"/>
    <w:rsid w:val="00C50314"/>
    <w:rsid w:val="00C50B1A"/>
    <w:rsid w:val="00C52E6F"/>
    <w:rsid w:val="00C62675"/>
    <w:rsid w:val="00C84A80"/>
    <w:rsid w:val="00C97034"/>
    <w:rsid w:val="00CA266E"/>
    <w:rsid w:val="00CA267A"/>
    <w:rsid w:val="00CB733D"/>
    <w:rsid w:val="00CB7878"/>
    <w:rsid w:val="00CC10FD"/>
    <w:rsid w:val="00CC3281"/>
    <w:rsid w:val="00CC4130"/>
    <w:rsid w:val="00CD3E32"/>
    <w:rsid w:val="00CD580F"/>
    <w:rsid w:val="00CE7FD4"/>
    <w:rsid w:val="00CF3FF0"/>
    <w:rsid w:val="00D14517"/>
    <w:rsid w:val="00D155D3"/>
    <w:rsid w:val="00D206EF"/>
    <w:rsid w:val="00D22634"/>
    <w:rsid w:val="00D30EFD"/>
    <w:rsid w:val="00D36D92"/>
    <w:rsid w:val="00D37F98"/>
    <w:rsid w:val="00D464DE"/>
    <w:rsid w:val="00D46880"/>
    <w:rsid w:val="00D54D9A"/>
    <w:rsid w:val="00D5559E"/>
    <w:rsid w:val="00D64FA9"/>
    <w:rsid w:val="00D66353"/>
    <w:rsid w:val="00D67826"/>
    <w:rsid w:val="00D70AD9"/>
    <w:rsid w:val="00D83D1F"/>
    <w:rsid w:val="00D84220"/>
    <w:rsid w:val="00D85B8B"/>
    <w:rsid w:val="00D955FB"/>
    <w:rsid w:val="00D95A09"/>
    <w:rsid w:val="00D95C7A"/>
    <w:rsid w:val="00D9704D"/>
    <w:rsid w:val="00DB18AE"/>
    <w:rsid w:val="00DC1C8A"/>
    <w:rsid w:val="00DC36C9"/>
    <w:rsid w:val="00DC6FFA"/>
    <w:rsid w:val="00DD4FFB"/>
    <w:rsid w:val="00DD5C23"/>
    <w:rsid w:val="00DE647F"/>
    <w:rsid w:val="00DE700E"/>
    <w:rsid w:val="00E00B25"/>
    <w:rsid w:val="00E026D5"/>
    <w:rsid w:val="00E20934"/>
    <w:rsid w:val="00E209FF"/>
    <w:rsid w:val="00E2337D"/>
    <w:rsid w:val="00E36547"/>
    <w:rsid w:val="00E4416B"/>
    <w:rsid w:val="00E47235"/>
    <w:rsid w:val="00E66A6D"/>
    <w:rsid w:val="00E70090"/>
    <w:rsid w:val="00E7332E"/>
    <w:rsid w:val="00E741FF"/>
    <w:rsid w:val="00E74661"/>
    <w:rsid w:val="00E84625"/>
    <w:rsid w:val="00E916B2"/>
    <w:rsid w:val="00EA04B2"/>
    <w:rsid w:val="00EA0C18"/>
    <w:rsid w:val="00EA6059"/>
    <w:rsid w:val="00EC4C43"/>
    <w:rsid w:val="00ED4422"/>
    <w:rsid w:val="00EE2FD6"/>
    <w:rsid w:val="00F05371"/>
    <w:rsid w:val="00F06B4C"/>
    <w:rsid w:val="00F1122C"/>
    <w:rsid w:val="00F114F9"/>
    <w:rsid w:val="00F13B27"/>
    <w:rsid w:val="00F2038C"/>
    <w:rsid w:val="00F41555"/>
    <w:rsid w:val="00F4374A"/>
    <w:rsid w:val="00F4432D"/>
    <w:rsid w:val="00F52448"/>
    <w:rsid w:val="00F53F9E"/>
    <w:rsid w:val="00F54F84"/>
    <w:rsid w:val="00F605F6"/>
    <w:rsid w:val="00F617C8"/>
    <w:rsid w:val="00F63833"/>
    <w:rsid w:val="00F64488"/>
    <w:rsid w:val="00F7281E"/>
    <w:rsid w:val="00F83525"/>
    <w:rsid w:val="00F83B12"/>
    <w:rsid w:val="00FA3AE8"/>
    <w:rsid w:val="00FA6A15"/>
    <w:rsid w:val="00FB085F"/>
    <w:rsid w:val="00FB2419"/>
    <w:rsid w:val="00FB3BAD"/>
    <w:rsid w:val="00FB4359"/>
    <w:rsid w:val="00FC05D4"/>
    <w:rsid w:val="00FC2618"/>
    <w:rsid w:val="00FC609A"/>
    <w:rsid w:val="00FC746A"/>
    <w:rsid w:val="00FD45E1"/>
    <w:rsid w:val="00FD609F"/>
    <w:rsid w:val="00FE50C5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C4DAA3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8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0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703970"/>
    <w:pPr>
      <w:ind w:left="720"/>
      <w:contextualSpacing/>
    </w:pPr>
  </w:style>
  <w:style w:type="character" w:customStyle="1" w:styleId="rvts20">
    <w:name w:val="rvts20"/>
    <w:basedOn w:val="a0"/>
    <w:rsid w:val="007E0544"/>
  </w:style>
  <w:style w:type="character" w:customStyle="1" w:styleId="rvts11">
    <w:name w:val="rvts11"/>
    <w:basedOn w:val="a0"/>
    <w:rsid w:val="007E0544"/>
  </w:style>
  <w:style w:type="character" w:customStyle="1" w:styleId="rvts21">
    <w:name w:val="rvts21"/>
    <w:basedOn w:val="a0"/>
    <w:rsid w:val="007E0544"/>
  </w:style>
  <w:style w:type="paragraph" w:customStyle="1" w:styleId="rvps5">
    <w:name w:val="rvps5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7E0544"/>
  </w:style>
  <w:style w:type="paragraph" w:customStyle="1" w:styleId="rvps6">
    <w:name w:val="rvps6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02A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Placeholder Text"/>
    <w:basedOn w:val="a0"/>
    <w:uiPriority w:val="99"/>
    <w:semiHidden/>
    <w:rsid w:val="009F509D"/>
    <w:rPr>
      <w:color w:val="808080"/>
    </w:rPr>
  </w:style>
  <w:style w:type="paragraph" w:customStyle="1" w:styleId="ps1">
    <w:name w:val="ps1"/>
    <w:basedOn w:val="a"/>
    <w:rsid w:val="008D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73D0E"/>
    <w:rPr>
      <w:b/>
      <w:bCs/>
    </w:rPr>
  </w:style>
  <w:style w:type="table" w:styleId="ae">
    <w:name w:val="Table Grid"/>
    <w:basedOn w:val="a1"/>
    <w:uiPriority w:val="39"/>
    <w:rsid w:val="0007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F9AC-6EB3-4E73-B154-F8BFD84B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4636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Валентина М. Поліщук</cp:lastModifiedBy>
  <cp:revision>8</cp:revision>
  <cp:lastPrinted>2025-09-30T06:28:00Z</cp:lastPrinted>
  <dcterms:created xsi:type="dcterms:W3CDTF">2025-09-24T12:19:00Z</dcterms:created>
  <dcterms:modified xsi:type="dcterms:W3CDTF">2025-09-30T06:28:00Z</dcterms:modified>
</cp:coreProperties>
</file>