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DE" w:rsidRDefault="00961EDE" w:rsidP="00961EDE">
      <w:pPr>
        <w:pStyle w:val="a4"/>
        <w:ind w:firstLine="0"/>
        <w:rPr>
          <w:szCs w:val="28"/>
        </w:rPr>
      </w:pPr>
    </w:p>
    <w:p w:rsidR="00961EDE" w:rsidRDefault="00961EDE" w:rsidP="00961EDE">
      <w:pPr>
        <w:pStyle w:val="a4"/>
        <w:ind w:firstLine="0"/>
        <w:rPr>
          <w:szCs w:val="28"/>
        </w:rPr>
      </w:pPr>
    </w:p>
    <w:p w:rsidR="00961EDE" w:rsidRDefault="00961EDE" w:rsidP="00961EDE">
      <w:pPr>
        <w:pStyle w:val="a4"/>
        <w:ind w:firstLine="0"/>
        <w:rPr>
          <w:szCs w:val="28"/>
        </w:rPr>
      </w:pPr>
    </w:p>
    <w:p w:rsidR="00961EDE" w:rsidRDefault="00961EDE" w:rsidP="00961EDE">
      <w:pPr>
        <w:pStyle w:val="a4"/>
        <w:ind w:firstLine="0"/>
        <w:rPr>
          <w:szCs w:val="28"/>
        </w:rPr>
      </w:pPr>
    </w:p>
    <w:p w:rsidR="00961EDE" w:rsidRDefault="00961EDE" w:rsidP="00961EDE">
      <w:pPr>
        <w:pStyle w:val="a4"/>
        <w:ind w:firstLine="0"/>
        <w:rPr>
          <w:szCs w:val="28"/>
        </w:rPr>
      </w:pPr>
    </w:p>
    <w:p w:rsidR="00961EDE" w:rsidRDefault="00961EDE" w:rsidP="00961EDE">
      <w:pPr>
        <w:pStyle w:val="a4"/>
        <w:ind w:firstLine="0"/>
        <w:rPr>
          <w:szCs w:val="28"/>
        </w:rPr>
      </w:pPr>
    </w:p>
    <w:p w:rsidR="00961EDE" w:rsidRDefault="00961EDE" w:rsidP="00961EDE">
      <w:pPr>
        <w:pStyle w:val="a4"/>
        <w:ind w:firstLine="0"/>
        <w:rPr>
          <w:szCs w:val="28"/>
        </w:rPr>
      </w:pPr>
    </w:p>
    <w:p w:rsidR="00A26B7E" w:rsidRDefault="00AE7F65" w:rsidP="00961EDE">
      <w:pPr>
        <w:pStyle w:val="a4"/>
        <w:ind w:firstLine="0"/>
        <w:rPr>
          <w:szCs w:val="28"/>
        </w:rPr>
      </w:pPr>
      <w:r w:rsidRPr="00961EDE">
        <w:rPr>
          <w:szCs w:val="28"/>
        </w:rPr>
        <w:t xml:space="preserve">про подовження строку постановлення </w:t>
      </w:r>
      <w:r w:rsidR="00EE3217" w:rsidRPr="00961EDE">
        <w:rPr>
          <w:szCs w:val="28"/>
        </w:rPr>
        <w:t xml:space="preserve">Третьою </w:t>
      </w:r>
      <w:r w:rsidRPr="00961EDE">
        <w:rPr>
          <w:szCs w:val="28"/>
        </w:rPr>
        <w:t xml:space="preserve">колегією суддів </w:t>
      </w:r>
      <w:r w:rsidR="00EE3217" w:rsidRPr="00961EDE">
        <w:rPr>
          <w:szCs w:val="28"/>
        </w:rPr>
        <w:t xml:space="preserve">Другого сенату </w:t>
      </w:r>
      <w:r w:rsidRPr="00961EDE">
        <w:rPr>
          <w:szCs w:val="28"/>
        </w:rPr>
        <w:t xml:space="preserve">Конституційного Суду України ухвали про відкриття </w:t>
      </w:r>
      <w:r w:rsidR="00EE3217" w:rsidRPr="00961EDE">
        <w:rPr>
          <w:szCs w:val="28"/>
        </w:rPr>
        <w:t xml:space="preserve">або про відмову у відкритті конституційного провадження у справі за </w:t>
      </w:r>
      <w:r w:rsidR="005E532E" w:rsidRPr="00961EDE">
        <w:rPr>
          <w:szCs w:val="28"/>
        </w:rPr>
        <w:t>конституційним поданням Верховного Суду щодо відповідності Конституції України (конституційності) пункту 2 розділу ІІ „Прикінцеві та перехідні положення“ Закону України „Про внесення змін до Цивільного кодексу України щодо посилення захисту прав добросовісного набувача“</w:t>
      </w:r>
      <w:r w:rsidR="00961EDE">
        <w:rPr>
          <w:szCs w:val="28"/>
        </w:rPr>
        <w:br/>
      </w:r>
    </w:p>
    <w:p w:rsidR="00EE3217" w:rsidRPr="00961EDE" w:rsidRDefault="00C96827" w:rsidP="00961EDE">
      <w:pPr>
        <w:widowControl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К и ї в</w:t>
      </w:r>
      <w:r w:rsidRPr="00961EDE">
        <w:rPr>
          <w:rFonts w:ascii="Times New Roman" w:hAnsi="Times New Roman" w:cs="Times New Roman"/>
          <w:sz w:val="28"/>
          <w:szCs w:val="28"/>
        </w:rPr>
        <w:tab/>
      </w:r>
      <w:r w:rsidR="00094AA2" w:rsidRPr="00961EDE">
        <w:rPr>
          <w:rFonts w:ascii="Times New Roman" w:hAnsi="Times New Roman" w:cs="Times New Roman"/>
          <w:sz w:val="28"/>
          <w:szCs w:val="28"/>
        </w:rPr>
        <w:t xml:space="preserve">Справа № </w:t>
      </w:r>
      <w:r w:rsidR="005E532E" w:rsidRPr="00961EDE">
        <w:rPr>
          <w:rFonts w:ascii="Times New Roman" w:hAnsi="Times New Roman" w:cs="Times New Roman"/>
          <w:sz w:val="28"/>
          <w:szCs w:val="28"/>
        </w:rPr>
        <w:t>1</w:t>
      </w:r>
      <w:r w:rsidRPr="00961EDE">
        <w:rPr>
          <w:rFonts w:ascii="Times New Roman" w:hAnsi="Times New Roman" w:cs="Times New Roman"/>
          <w:sz w:val="28"/>
          <w:szCs w:val="28"/>
        </w:rPr>
        <w:t>-</w:t>
      </w:r>
      <w:r w:rsidR="00A26B7E" w:rsidRPr="00961EDE">
        <w:rPr>
          <w:rFonts w:ascii="Times New Roman" w:hAnsi="Times New Roman" w:cs="Times New Roman"/>
          <w:sz w:val="28"/>
          <w:szCs w:val="28"/>
        </w:rPr>
        <w:t>4</w:t>
      </w:r>
      <w:r w:rsidRPr="00961EDE">
        <w:rPr>
          <w:rFonts w:ascii="Times New Roman" w:hAnsi="Times New Roman" w:cs="Times New Roman"/>
          <w:sz w:val="28"/>
          <w:szCs w:val="28"/>
        </w:rPr>
        <w:t>/2025(</w:t>
      </w:r>
      <w:r w:rsidR="005E532E" w:rsidRPr="00961EDE">
        <w:rPr>
          <w:rFonts w:ascii="Times New Roman" w:hAnsi="Times New Roman" w:cs="Times New Roman"/>
          <w:sz w:val="28"/>
          <w:szCs w:val="28"/>
        </w:rPr>
        <w:t>373</w:t>
      </w:r>
      <w:r w:rsidRPr="00961EDE">
        <w:rPr>
          <w:rFonts w:ascii="Times New Roman" w:hAnsi="Times New Roman" w:cs="Times New Roman"/>
          <w:sz w:val="28"/>
          <w:szCs w:val="28"/>
        </w:rPr>
        <w:t>/25)</w:t>
      </w:r>
    </w:p>
    <w:p w:rsidR="00EE3217" w:rsidRPr="00961EDE" w:rsidRDefault="00961EDE" w:rsidP="00961EDE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827" w:rsidRPr="00961EDE">
        <w:rPr>
          <w:rFonts w:ascii="Times New Roman" w:hAnsi="Times New Roman" w:cs="Times New Roman"/>
          <w:sz w:val="28"/>
          <w:szCs w:val="28"/>
        </w:rPr>
        <w:t xml:space="preserve"> </w:t>
      </w:r>
      <w:r w:rsidR="00AB3910">
        <w:rPr>
          <w:rFonts w:ascii="Times New Roman" w:hAnsi="Times New Roman" w:cs="Times New Roman"/>
          <w:sz w:val="28"/>
          <w:szCs w:val="28"/>
        </w:rPr>
        <w:t>листопада</w:t>
      </w:r>
      <w:r w:rsidR="00DD764A" w:rsidRPr="00961EDE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961EDE">
        <w:rPr>
          <w:rFonts w:ascii="Times New Roman" w:hAnsi="Times New Roman" w:cs="Times New Roman"/>
          <w:sz w:val="28"/>
          <w:szCs w:val="28"/>
        </w:rPr>
        <w:t>5</w:t>
      </w:r>
      <w:r w:rsidR="00EE3217" w:rsidRPr="00961ED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961EDE" w:rsidRDefault="00EE3217" w:rsidP="00961EDE">
      <w:pPr>
        <w:widowControl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№</w:t>
      </w:r>
      <w:r w:rsidR="00961EDE">
        <w:rPr>
          <w:rFonts w:ascii="Times New Roman" w:hAnsi="Times New Roman" w:cs="Times New Roman"/>
          <w:sz w:val="28"/>
          <w:szCs w:val="28"/>
        </w:rPr>
        <w:t xml:space="preserve"> </w:t>
      </w:r>
      <w:r w:rsidR="00185649">
        <w:rPr>
          <w:rFonts w:ascii="Times New Roman" w:hAnsi="Times New Roman" w:cs="Times New Roman"/>
          <w:sz w:val="28"/>
          <w:szCs w:val="28"/>
        </w:rPr>
        <w:t>145</w:t>
      </w:r>
      <w:r w:rsidR="00545C00" w:rsidRPr="00961EDE">
        <w:rPr>
          <w:rFonts w:ascii="Times New Roman" w:hAnsi="Times New Roman" w:cs="Times New Roman"/>
          <w:sz w:val="28"/>
          <w:szCs w:val="28"/>
        </w:rPr>
        <w:t>-у/20</w:t>
      </w:r>
      <w:r w:rsidR="005B4A5D" w:rsidRPr="00961EDE">
        <w:rPr>
          <w:rFonts w:ascii="Times New Roman" w:hAnsi="Times New Roman" w:cs="Times New Roman"/>
          <w:sz w:val="28"/>
          <w:szCs w:val="28"/>
        </w:rPr>
        <w:t>2</w:t>
      </w:r>
      <w:r w:rsidR="002F3455" w:rsidRPr="00961EDE">
        <w:rPr>
          <w:rFonts w:ascii="Times New Roman" w:hAnsi="Times New Roman" w:cs="Times New Roman"/>
          <w:sz w:val="28"/>
          <w:szCs w:val="28"/>
        </w:rPr>
        <w:t>5</w:t>
      </w:r>
    </w:p>
    <w:p w:rsidR="00961EDE" w:rsidRPr="00961EDE" w:rsidRDefault="00961EDE" w:rsidP="00961EDE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961EDE" w:rsidRDefault="00620B2F" w:rsidP="00961ED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975E07" w:rsidRPr="00961EDE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961EDE">
        <w:rPr>
          <w:rFonts w:ascii="Times New Roman" w:hAnsi="Times New Roman" w:cs="Times New Roman"/>
          <w:sz w:val="28"/>
          <w:szCs w:val="28"/>
        </w:rPr>
        <w:t>: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961EDE" w:rsidRDefault="002F3455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Петришин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 xml:space="preserve">а ‒ </w:t>
      </w:r>
      <w:r w:rsidR="00620B2F" w:rsidRPr="00961EDE">
        <w:rPr>
          <w:rFonts w:ascii="Times New Roman" w:hAnsi="Times New Roman" w:cs="Times New Roman"/>
          <w:sz w:val="28"/>
          <w:szCs w:val="28"/>
        </w:rPr>
        <w:t>голов</w:t>
      </w:r>
      <w:r w:rsidR="00975E07" w:rsidRPr="00961EDE">
        <w:rPr>
          <w:rFonts w:ascii="Times New Roman" w:hAnsi="Times New Roman" w:cs="Times New Roman"/>
          <w:sz w:val="28"/>
          <w:szCs w:val="28"/>
        </w:rPr>
        <w:t>уючого,</w:t>
      </w:r>
    </w:p>
    <w:p w:rsidR="005E532E" w:rsidRPr="00961EDE" w:rsidRDefault="005E532E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Барабаша Юрія Григоровича,</w:t>
      </w:r>
    </w:p>
    <w:p w:rsidR="00C96827" w:rsidRPr="00961EDE" w:rsidRDefault="00C96827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Водянніков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Юрійович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Городовенк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 ‒ доповідача,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  <w:lang w:val="ru-RU"/>
        </w:rPr>
        <w:t xml:space="preserve">Грищук </w:t>
      </w:r>
      <w:proofErr w:type="spellStart"/>
      <w:r w:rsidRPr="00961EDE">
        <w:rPr>
          <w:rFonts w:ascii="Times New Roman" w:hAnsi="Times New Roman" w:cs="Times New Roman"/>
          <w:sz w:val="28"/>
          <w:szCs w:val="28"/>
          <w:lang w:val="ru-RU"/>
        </w:rPr>
        <w:t>Оксан</w:t>
      </w:r>
      <w:r w:rsidR="00975E07" w:rsidRPr="00961EDE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961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EDE">
        <w:rPr>
          <w:rFonts w:ascii="Times New Roman" w:hAnsi="Times New Roman" w:cs="Times New Roman"/>
          <w:sz w:val="28"/>
          <w:szCs w:val="28"/>
        </w:rPr>
        <w:t>Вікторівн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Кичун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Лемак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Васил</w:t>
      </w:r>
      <w:r w:rsidR="00975E07" w:rsidRPr="00961EDE">
        <w:rPr>
          <w:rFonts w:ascii="Times New Roman" w:hAnsi="Times New Roman" w:cs="Times New Roman"/>
          <w:sz w:val="28"/>
          <w:szCs w:val="28"/>
        </w:rPr>
        <w:t>я</w:t>
      </w:r>
      <w:r w:rsidRPr="00961EDE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2F3455" w:rsidRPr="00961EDE" w:rsidRDefault="002F3455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Олійник Алл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Первомайськ</w:t>
      </w:r>
      <w:r w:rsidR="00975E07" w:rsidRPr="00961EDE">
        <w:rPr>
          <w:rFonts w:ascii="Times New Roman" w:hAnsi="Times New Roman" w:cs="Times New Roman"/>
          <w:sz w:val="28"/>
          <w:szCs w:val="28"/>
        </w:rPr>
        <w:t>ого</w:t>
      </w:r>
      <w:r w:rsidRPr="00961EDE">
        <w:rPr>
          <w:rFonts w:ascii="Times New Roman" w:hAnsi="Times New Roman" w:cs="Times New Roman"/>
          <w:sz w:val="28"/>
          <w:szCs w:val="28"/>
        </w:rPr>
        <w:t xml:space="preserve"> Олег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Олексійович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B72C6D" w:rsidRPr="00961EDE" w:rsidRDefault="00B72C6D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Різник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975E07" w:rsidRPr="00961EDE">
        <w:rPr>
          <w:rFonts w:ascii="Times New Roman" w:hAnsi="Times New Roman" w:cs="Times New Roman"/>
          <w:sz w:val="28"/>
          <w:szCs w:val="28"/>
        </w:rPr>
        <w:t>я</w:t>
      </w:r>
      <w:r w:rsidRPr="00961EDE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Совгир</w:t>
      </w:r>
      <w:r w:rsidR="00975E07" w:rsidRPr="00961ED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Ольг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 xml:space="preserve"> Володимирівн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Філюк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Петр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r w:rsidRPr="00961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EDE">
        <w:rPr>
          <w:rFonts w:ascii="Times New Roman" w:hAnsi="Times New Roman" w:cs="Times New Roman"/>
          <w:sz w:val="28"/>
          <w:szCs w:val="28"/>
        </w:rPr>
        <w:t>Тодосьович</w:t>
      </w:r>
      <w:r w:rsidR="00975E07" w:rsidRPr="00961E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620B2F" w:rsidRPr="00961EDE" w:rsidRDefault="00620B2F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EDE">
        <w:rPr>
          <w:rFonts w:ascii="Times New Roman" w:hAnsi="Times New Roman" w:cs="Times New Roman"/>
          <w:sz w:val="28"/>
          <w:szCs w:val="28"/>
        </w:rPr>
        <w:t>Юровськ</w:t>
      </w:r>
      <w:r w:rsidR="00975E07" w:rsidRPr="00961EDE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975E07" w:rsidRPr="00961EDE">
        <w:rPr>
          <w:rFonts w:ascii="Times New Roman" w:hAnsi="Times New Roman" w:cs="Times New Roman"/>
          <w:sz w:val="28"/>
          <w:szCs w:val="28"/>
        </w:rPr>
        <w:t>и</w:t>
      </w:r>
      <w:r w:rsidRPr="00961EDE">
        <w:rPr>
          <w:rFonts w:ascii="Times New Roman" w:hAnsi="Times New Roman" w:cs="Times New Roman"/>
          <w:sz w:val="28"/>
          <w:szCs w:val="28"/>
        </w:rPr>
        <w:t>,</w:t>
      </w:r>
    </w:p>
    <w:p w:rsidR="00AE7F65" w:rsidRPr="00961EDE" w:rsidRDefault="00AE7F65" w:rsidP="00961EDE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BAD" w:rsidRPr="00961EDE" w:rsidRDefault="00AE7F65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В.В.</w:t>
      </w:r>
      <w:r w:rsidR="00BF411A" w:rsidRPr="00961EDE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961EDE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="00EB1BAD" w:rsidRPr="00961EDE">
        <w:rPr>
          <w:rFonts w:ascii="Times New Roman" w:hAnsi="Times New Roman" w:cs="Times New Roman"/>
          <w:sz w:val="28"/>
          <w:szCs w:val="28"/>
        </w:rPr>
        <w:t xml:space="preserve">конституційним поданням Верховного Суду щодо відповідності Конституції України (конституційності) пункту 2 розділу ІІ „Прикінцеві та перехідні положення“ Закону України „Про внесення </w:t>
      </w:r>
      <w:r w:rsidR="00EB1BAD" w:rsidRPr="00961EDE">
        <w:rPr>
          <w:rFonts w:ascii="Times New Roman" w:hAnsi="Times New Roman" w:cs="Times New Roman"/>
          <w:sz w:val="28"/>
          <w:szCs w:val="28"/>
        </w:rPr>
        <w:lastRenderedPageBreak/>
        <w:t>змін до Цивільного кодексу України щодо посилення захисту прав добросовісного набувача“.</w:t>
      </w:r>
    </w:p>
    <w:p w:rsidR="002241E3" w:rsidRPr="00961EDE" w:rsidRDefault="002241E3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61EDE" w:rsidRDefault="00AE7F65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Pr="00961EDE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961EDE">
        <w:rPr>
          <w:rFonts w:ascii="Times New Roman" w:hAnsi="Times New Roman" w:cs="Times New Roman"/>
          <w:sz w:val="28"/>
          <w:szCs w:val="28"/>
        </w:rPr>
        <w:t xml:space="preserve"> В.В., </w:t>
      </w:r>
      <w:r w:rsidR="00201ABF" w:rsidRPr="00961EDE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961EDE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961EDE">
        <w:rPr>
          <w:rFonts w:ascii="Times New Roman" w:hAnsi="Times New Roman" w:cs="Times New Roman"/>
          <w:sz w:val="28"/>
          <w:szCs w:val="28"/>
        </w:rPr>
        <w:t>ого</w:t>
      </w:r>
      <w:r w:rsidRPr="00961EDE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961EDE">
        <w:rPr>
          <w:rFonts w:ascii="Times New Roman" w:hAnsi="Times New Roman" w:cs="Times New Roman"/>
          <w:sz w:val="28"/>
          <w:szCs w:val="28"/>
        </w:rPr>
        <w:t>у</w:t>
      </w:r>
      <w:r w:rsidRPr="00961EDE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5C1B0F" w:rsidRPr="00961EDE" w:rsidRDefault="005C1B0F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61EDE" w:rsidRDefault="00201ABF" w:rsidP="00961ED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EDE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961EDE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961EDE" w:rsidRDefault="00AE7F65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961EDE" w:rsidRDefault="00201ABF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961EDE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961EDE">
        <w:rPr>
          <w:rFonts w:ascii="Times New Roman" w:hAnsi="Times New Roman" w:cs="Times New Roman"/>
          <w:sz w:val="28"/>
          <w:szCs w:val="28"/>
        </w:rPr>
        <w:t>ня</w:t>
      </w:r>
      <w:r w:rsidRPr="00961EDE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961EDE" w:rsidRDefault="00201ABF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961EDE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961EDE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961EDE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961EDE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961EDE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="00EB1BAD" w:rsidRPr="00961EDE">
        <w:rPr>
          <w:rFonts w:ascii="Times New Roman" w:hAnsi="Times New Roman" w:cs="Times New Roman"/>
          <w:sz w:val="28"/>
          <w:szCs w:val="28"/>
        </w:rPr>
        <w:t xml:space="preserve">конституційним поданням Верховного Суду щодо відповідності Конституції України (конституційності) пункту 2 розділу ІІ „Прикінцеві та перехідні положення“ Закону України „Про внесення змін до Цивільного кодексу України щодо посилення захисту прав добросовісного набувача“ </w:t>
      </w:r>
      <w:r w:rsidR="000B5974" w:rsidRPr="00961ED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961EDE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961EDE">
        <w:rPr>
          <w:rFonts w:ascii="Times New Roman" w:hAnsi="Times New Roman" w:cs="Times New Roman"/>
          <w:sz w:val="28"/>
          <w:szCs w:val="28"/>
        </w:rPr>
        <w:t xml:space="preserve"> </w:t>
      </w:r>
      <w:r w:rsidR="00EB1BAD" w:rsidRPr="00961EDE">
        <w:rPr>
          <w:rFonts w:ascii="Times New Roman" w:hAnsi="Times New Roman" w:cs="Times New Roman"/>
          <w:sz w:val="28"/>
          <w:szCs w:val="28"/>
        </w:rPr>
        <w:t>1 жовтня</w:t>
      </w:r>
      <w:r w:rsidR="00A26B7E" w:rsidRPr="00961EDE">
        <w:rPr>
          <w:rFonts w:ascii="Times New Roman" w:hAnsi="Times New Roman" w:cs="Times New Roman"/>
          <w:sz w:val="28"/>
          <w:szCs w:val="28"/>
        </w:rPr>
        <w:t xml:space="preserve"> </w:t>
      </w:r>
      <w:r w:rsidR="002F3455" w:rsidRPr="00961EDE">
        <w:rPr>
          <w:rFonts w:ascii="Times New Roman" w:hAnsi="Times New Roman" w:cs="Times New Roman"/>
          <w:sz w:val="28"/>
          <w:szCs w:val="28"/>
        </w:rPr>
        <w:t>2025</w:t>
      </w:r>
      <w:r w:rsidR="00AB7AC1" w:rsidRPr="00961EDE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B5974" w:rsidRPr="00961EDE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0B5974" w:rsidRPr="00961EDE">
        <w:rPr>
          <w:rFonts w:ascii="Times New Roman" w:hAnsi="Times New Roman" w:cs="Times New Roman"/>
          <w:sz w:val="28"/>
          <w:szCs w:val="28"/>
        </w:rPr>
        <w:t>Городовенку</w:t>
      </w:r>
      <w:proofErr w:type="spellEnd"/>
      <w:r w:rsidR="000B5974" w:rsidRPr="00961EDE">
        <w:rPr>
          <w:rFonts w:ascii="Times New Roman" w:hAnsi="Times New Roman" w:cs="Times New Roman"/>
          <w:sz w:val="28"/>
          <w:szCs w:val="28"/>
        </w:rPr>
        <w:t xml:space="preserve"> В.В</w:t>
      </w:r>
      <w:r w:rsidR="00937B2A" w:rsidRPr="00961EDE">
        <w:rPr>
          <w:rFonts w:ascii="Times New Roman" w:hAnsi="Times New Roman" w:cs="Times New Roman"/>
          <w:sz w:val="28"/>
          <w:szCs w:val="28"/>
        </w:rPr>
        <w:t>.</w:t>
      </w:r>
      <w:r w:rsidR="000B5974" w:rsidRPr="00961EDE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961EDE" w:rsidRDefault="00201ABF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61EDE" w:rsidRDefault="00874BAA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>У</w:t>
      </w:r>
      <w:r w:rsidR="00201ABF" w:rsidRPr="00961EDE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961EDE" w:rsidRDefault="00201ABF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961EDE" w:rsidRDefault="00975E07" w:rsidP="00961EDE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о с т а н о в</w:t>
      </w:r>
      <w:r w:rsidR="00201ABF" w:rsidRPr="00961EDE">
        <w:rPr>
          <w:rFonts w:ascii="Times New Roman" w:hAnsi="Times New Roman" w:cs="Times New Roman"/>
          <w:b/>
          <w:bCs/>
          <w:sz w:val="28"/>
          <w:szCs w:val="28"/>
        </w:rPr>
        <w:t xml:space="preserve"> и л а</w:t>
      </w:r>
      <w:r w:rsidR="00AE7F65" w:rsidRPr="00961EDE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961EDE" w:rsidRDefault="00AE7F65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BAD" w:rsidRDefault="00C64C22" w:rsidP="00961EDE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EDE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A82DE7">
        <w:rPr>
          <w:rFonts w:ascii="Times New Roman" w:hAnsi="Times New Roman" w:cs="Times New Roman"/>
          <w:sz w:val="28"/>
          <w:szCs w:val="28"/>
        </w:rPr>
        <w:t>4</w:t>
      </w:r>
      <w:r w:rsidR="005376D4" w:rsidRPr="00961EDE">
        <w:rPr>
          <w:rFonts w:ascii="Times New Roman" w:hAnsi="Times New Roman" w:cs="Times New Roman"/>
          <w:sz w:val="28"/>
          <w:szCs w:val="28"/>
        </w:rPr>
        <w:t xml:space="preserve"> </w:t>
      </w:r>
      <w:r w:rsidR="00A82DE7">
        <w:rPr>
          <w:rFonts w:ascii="Times New Roman" w:hAnsi="Times New Roman" w:cs="Times New Roman"/>
          <w:sz w:val="28"/>
          <w:szCs w:val="28"/>
        </w:rPr>
        <w:t xml:space="preserve">грудня </w:t>
      </w:r>
      <w:r w:rsidRPr="00961EDE">
        <w:rPr>
          <w:rFonts w:ascii="Times New Roman" w:hAnsi="Times New Roman" w:cs="Times New Roman"/>
          <w:sz w:val="28"/>
          <w:szCs w:val="28"/>
        </w:rPr>
        <w:t>20</w:t>
      </w:r>
      <w:r w:rsidR="00575657" w:rsidRPr="00961EDE">
        <w:rPr>
          <w:rFonts w:ascii="Times New Roman" w:hAnsi="Times New Roman" w:cs="Times New Roman"/>
          <w:sz w:val="28"/>
          <w:szCs w:val="28"/>
        </w:rPr>
        <w:t>2</w:t>
      </w:r>
      <w:r w:rsidR="00230204" w:rsidRPr="00961EDE">
        <w:rPr>
          <w:rFonts w:ascii="Times New Roman" w:hAnsi="Times New Roman" w:cs="Times New Roman"/>
          <w:sz w:val="28"/>
          <w:szCs w:val="28"/>
        </w:rPr>
        <w:t>5</w:t>
      </w:r>
      <w:r w:rsidRPr="00961EDE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961EDE">
        <w:rPr>
          <w:rFonts w:ascii="Times New Roman" w:hAnsi="Times New Roman" w:cs="Times New Roman"/>
          <w:sz w:val="28"/>
          <w:szCs w:val="28"/>
        </w:rPr>
        <w:t xml:space="preserve"> </w:t>
      </w:r>
      <w:r w:rsidRPr="00961EDE">
        <w:rPr>
          <w:rFonts w:ascii="Times New Roman" w:hAnsi="Times New Roman" w:cs="Times New Roman"/>
          <w:sz w:val="28"/>
          <w:szCs w:val="28"/>
        </w:rPr>
        <w:t xml:space="preserve">або про відмову у відкритті конституційного провадження у справі за </w:t>
      </w:r>
      <w:r w:rsidR="00EB1BAD" w:rsidRPr="00961EDE">
        <w:rPr>
          <w:rFonts w:ascii="Times New Roman" w:hAnsi="Times New Roman" w:cs="Times New Roman"/>
          <w:sz w:val="28"/>
          <w:szCs w:val="28"/>
        </w:rPr>
        <w:t>конституційним поданням Верховного Суду щодо відповідності Конституції України (конституційності) пункту 2 розділу ІІ „Прикінцеві та перехідні положення“ Закону України „Про внесення змін до Цивільного кодексу України щодо посилення захисту прав добросовісного набувача“.</w:t>
      </w:r>
    </w:p>
    <w:p w:rsidR="00961EDE" w:rsidRDefault="00961EDE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EDE" w:rsidRDefault="00961EDE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1EDE" w:rsidRDefault="00961EDE" w:rsidP="00961ED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140" w:rsidRPr="009C27FD" w:rsidRDefault="00F75140" w:rsidP="00F75140">
      <w:pPr>
        <w:widowControl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bidi="hi-IN"/>
        </w:rPr>
      </w:pPr>
      <w:bookmarkStart w:id="0" w:name="_GoBack"/>
      <w:r w:rsidRPr="009C27FD">
        <w:rPr>
          <w:rFonts w:ascii="Times New Roman" w:hAnsi="Times New Roman" w:cs="Times New Roman"/>
          <w:b/>
          <w:caps/>
          <w:sz w:val="28"/>
          <w:szCs w:val="28"/>
          <w:lang w:bidi="hi-IN"/>
        </w:rPr>
        <w:t>Велика палата</w:t>
      </w:r>
    </w:p>
    <w:p w:rsidR="00961EDE" w:rsidRDefault="00F75140" w:rsidP="00F75140">
      <w:pPr>
        <w:widowControl/>
        <w:ind w:left="425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C27FD">
        <w:rPr>
          <w:rFonts w:ascii="Times New Roman" w:hAnsi="Times New Roman" w:cs="Times New Roman"/>
          <w:b/>
          <w:caps/>
          <w:sz w:val="28"/>
          <w:szCs w:val="28"/>
          <w:lang w:bidi="hi-IN"/>
        </w:rPr>
        <w:t>Конституційного Суду України</w:t>
      </w:r>
      <w:bookmarkEnd w:id="0"/>
    </w:p>
    <w:sectPr w:rsidR="00961EDE" w:rsidSect="00961EDE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7D3" w:rsidRDefault="009907D3" w:rsidP="00094AA2">
      <w:r>
        <w:separator/>
      </w:r>
    </w:p>
  </w:endnote>
  <w:endnote w:type="continuationSeparator" w:id="0">
    <w:p w:rsidR="009907D3" w:rsidRDefault="009907D3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E" w:rsidRPr="00961EDE" w:rsidRDefault="00961EDE">
    <w:pPr>
      <w:pStyle w:val="aa"/>
      <w:rPr>
        <w:rFonts w:ascii="Times New Roman" w:hAnsi="Times New Roman" w:cs="Times New Roman"/>
        <w:sz w:val="10"/>
        <w:szCs w:val="10"/>
      </w:rPr>
    </w:pPr>
    <w:r w:rsidRPr="00961EDE">
      <w:rPr>
        <w:rFonts w:ascii="Times New Roman" w:hAnsi="Times New Roman" w:cs="Times New Roman"/>
        <w:sz w:val="10"/>
        <w:szCs w:val="10"/>
      </w:rPr>
      <w:fldChar w:fldCharType="begin"/>
    </w:r>
    <w:r w:rsidRPr="00961ED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61EDE">
      <w:rPr>
        <w:rFonts w:ascii="Times New Roman" w:hAnsi="Times New Roman" w:cs="Times New Roman"/>
        <w:sz w:val="10"/>
        <w:szCs w:val="10"/>
      </w:rPr>
      <w:fldChar w:fldCharType="separate"/>
    </w:r>
    <w:r w:rsidR="00F75140">
      <w:rPr>
        <w:rFonts w:ascii="Times New Roman" w:hAnsi="Times New Roman" w:cs="Times New Roman"/>
        <w:noProof/>
        <w:sz w:val="10"/>
        <w:szCs w:val="10"/>
      </w:rPr>
      <w:t>S:\Mashburo\2025\Suddi\Uhvala VP\188.docx</w:t>
    </w:r>
    <w:r w:rsidRPr="00961ED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DE" w:rsidRPr="00961EDE" w:rsidRDefault="00961EDE">
    <w:pPr>
      <w:pStyle w:val="aa"/>
      <w:rPr>
        <w:rFonts w:ascii="Times New Roman" w:hAnsi="Times New Roman" w:cs="Times New Roman"/>
        <w:sz w:val="10"/>
        <w:szCs w:val="10"/>
      </w:rPr>
    </w:pPr>
    <w:r w:rsidRPr="00961EDE">
      <w:rPr>
        <w:rFonts w:ascii="Times New Roman" w:hAnsi="Times New Roman" w:cs="Times New Roman"/>
        <w:sz w:val="10"/>
        <w:szCs w:val="10"/>
      </w:rPr>
      <w:fldChar w:fldCharType="begin"/>
    </w:r>
    <w:r w:rsidRPr="00961EDE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961EDE">
      <w:rPr>
        <w:rFonts w:ascii="Times New Roman" w:hAnsi="Times New Roman" w:cs="Times New Roman"/>
        <w:sz w:val="10"/>
        <w:szCs w:val="10"/>
      </w:rPr>
      <w:fldChar w:fldCharType="separate"/>
    </w:r>
    <w:r w:rsidR="00F75140">
      <w:rPr>
        <w:rFonts w:ascii="Times New Roman" w:hAnsi="Times New Roman" w:cs="Times New Roman"/>
        <w:noProof/>
        <w:sz w:val="10"/>
        <w:szCs w:val="10"/>
      </w:rPr>
      <w:t>S:\Mashburo\2025\Suddi\Uhvala VP\188.docx</w:t>
    </w:r>
    <w:r w:rsidRPr="00961ED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7D3" w:rsidRDefault="009907D3" w:rsidP="00094AA2">
      <w:r>
        <w:separator/>
      </w:r>
    </w:p>
  </w:footnote>
  <w:footnote w:type="continuationSeparator" w:id="0">
    <w:p w:rsidR="009907D3" w:rsidRDefault="009907D3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87567763"/>
      <w:docPartObj>
        <w:docPartGallery w:val="Page Numbers (Top of Page)"/>
        <w:docPartUnique/>
      </w:docPartObj>
    </w:sdtPr>
    <w:sdtEndPr/>
    <w:sdtContent>
      <w:p w:rsidR="00094AA2" w:rsidRPr="00961EDE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1E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1E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1E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514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61E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174F9"/>
    <w:rsid w:val="0014140F"/>
    <w:rsid w:val="00154F57"/>
    <w:rsid w:val="00162569"/>
    <w:rsid w:val="00185649"/>
    <w:rsid w:val="00193F53"/>
    <w:rsid w:val="001A73A8"/>
    <w:rsid w:val="001E1598"/>
    <w:rsid w:val="00201ABF"/>
    <w:rsid w:val="002241E3"/>
    <w:rsid w:val="00230204"/>
    <w:rsid w:val="00232A99"/>
    <w:rsid w:val="002619F0"/>
    <w:rsid w:val="00270B2A"/>
    <w:rsid w:val="00280908"/>
    <w:rsid w:val="002938D3"/>
    <w:rsid w:val="002A635D"/>
    <w:rsid w:val="002C5630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3B3B86"/>
    <w:rsid w:val="00425290"/>
    <w:rsid w:val="00430BDC"/>
    <w:rsid w:val="004328B5"/>
    <w:rsid w:val="00434A94"/>
    <w:rsid w:val="00470B66"/>
    <w:rsid w:val="004A08D6"/>
    <w:rsid w:val="004C65DE"/>
    <w:rsid w:val="004D7EF7"/>
    <w:rsid w:val="00511CFD"/>
    <w:rsid w:val="00520D22"/>
    <w:rsid w:val="00520E2C"/>
    <w:rsid w:val="00520F10"/>
    <w:rsid w:val="005376D4"/>
    <w:rsid w:val="00542EBB"/>
    <w:rsid w:val="00545C00"/>
    <w:rsid w:val="005467F7"/>
    <w:rsid w:val="00554209"/>
    <w:rsid w:val="00575657"/>
    <w:rsid w:val="00593D6A"/>
    <w:rsid w:val="005A145A"/>
    <w:rsid w:val="005B4A5D"/>
    <w:rsid w:val="005B4CB2"/>
    <w:rsid w:val="005C1B0F"/>
    <w:rsid w:val="005C2791"/>
    <w:rsid w:val="005C301A"/>
    <w:rsid w:val="005C601F"/>
    <w:rsid w:val="005E532E"/>
    <w:rsid w:val="005F4362"/>
    <w:rsid w:val="00612BE2"/>
    <w:rsid w:val="00620B2F"/>
    <w:rsid w:val="00627B44"/>
    <w:rsid w:val="00652146"/>
    <w:rsid w:val="00652F2C"/>
    <w:rsid w:val="00655BA0"/>
    <w:rsid w:val="00676160"/>
    <w:rsid w:val="006843D6"/>
    <w:rsid w:val="006869EE"/>
    <w:rsid w:val="006B346C"/>
    <w:rsid w:val="007560FE"/>
    <w:rsid w:val="007B5165"/>
    <w:rsid w:val="007D203C"/>
    <w:rsid w:val="007D5E46"/>
    <w:rsid w:val="007E1E9F"/>
    <w:rsid w:val="008254F2"/>
    <w:rsid w:val="00841749"/>
    <w:rsid w:val="00842FE2"/>
    <w:rsid w:val="00871D9B"/>
    <w:rsid w:val="00874BAA"/>
    <w:rsid w:val="008C3D51"/>
    <w:rsid w:val="008E3090"/>
    <w:rsid w:val="008E7187"/>
    <w:rsid w:val="008F43C9"/>
    <w:rsid w:val="00911D06"/>
    <w:rsid w:val="00936654"/>
    <w:rsid w:val="00937B2A"/>
    <w:rsid w:val="00961EDE"/>
    <w:rsid w:val="00975E07"/>
    <w:rsid w:val="009907D3"/>
    <w:rsid w:val="00990827"/>
    <w:rsid w:val="009A10B9"/>
    <w:rsid w:val="009B02C7"/>
    <w:rsid w:val="009B360B"/>
    <w:rsid w:val="009B48A4"/>
    <w:rsid w:val="009F6D6A"/>
    <w:rsid w:val="00A039D1"/>
    <w:rsid w:val="00A054F9"/>
    <w:rsid w:val="00A26B7E"/>
    <w:rsid w:val="00A32812"/>
    <w:rsid w:val="00A41A5B"/>
    <w:rsid w:val="00A5533A"/>
    <w:rsid w:val="00A82DE7"/>
    <w:rsid w:val="00A95B6E"/>
    <w:rsid w:val="00AB2215"/>
    <w:rsid w:val="00AB3910"/>
    <w:rsid w:val="00AB4234"/>
    <w:rsid w:val="00AB7AC1"/>
    <w:rsid w:val="00AE7F65"/>
    <w:rsid w:val="00AF57E8"/>
    <w:rsid w:val="00AF7292"/>
    <w:rsid w:val="00B449F1"/>
    <w:rsid w:val="00B71203"/>
    <w:rsid w:val="00B72C6D"/>
    <w:rsid w:val="00B74B8A"/>
    <w:rsid w:val="00B76A20"/>
    <w:rsid w:val="00B77030"/>
    <w:rsid w:val="00BB1A82"/>
    <w:rsid w:val="00BB1E0B"/>
    <w:rsid w:val="00BB6457"/>
    <w:rsid w:val="00BF33A0"/>
    <w:rsid w:val="00BF411A"/>
    <w:rsid w:val="00C24268"/>
    <w:rsid w:val="00C64C22"/>
    <w:rsid w:val="00C716B2"/>
    <w:rsid w:val="00C855AB"/>
    <w:rsid w:val="00C96827"/>
    <w:rsid w:val="00CA7A1E"/>
    <w:rsid w:val="00CC15AD"/>
    <w:rsid w:val="00CF139C"/>
    <w:rsid w:val="00D03ACB"/>
    <w:rsid w:val="00D23AD0"/>
    <w:rsid w:val="00D5646C"/>
    <w:rsid w:val="00D84417"/>
    <w:rsid w:val="00D9228F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90221"/>
    <w:rsid w:val="00E95234"/>
    <w:rsid w:val="00EB1BAD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75140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B0FE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96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7</cp:revision>
  <cp:lastPrinted>2025-11-06T14:51:00Z</cp:lastPrinted>
  <dcterms:created xsi:type="dcterms:W3CDTF">2025-11-04T14:28:00Z</dcterms:created>
  <dcterms:modified xsi:type="dcterms:W3CDTF">2025-11-06T14:51:00Z</dcterms:modified>
</cp:coreProperties>
</file>