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9CA" w:rsidRDefault="004279CA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9CA" w:rsidRDefault="004279CA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9CA" w:rsidRDefault="004279CA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9CA" w:rsidRDefault="004279CA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9CA" w:rsidRDefault="004279CA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9CA" w:rsidRDefault="004279CA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79CA" w:rsidRDefault="004279CA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4279CA" w:rsidRDefault="0053284F" w:rsidP="004279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427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427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proofErr w:type="spellStart"/>
      <w:r w:rsidR="00F1779F" w:rsidRPr="004279CA">
        <w:rPr>
          <w:rFonts w:ascii="Times New Roman" w:hAnsi="Times New Roman" w:cs="Times New Roman"/>
          <w:b/>
          <w:sz w:val="28"/>
          <w:szCs w:val="28"/>
          <w:lang w:val="uk-UA"/>
        </w:rPr>
        <w:t>Арсірія</w:t>
      </w:r>
      <w:proofErr w:type="spellEnd"/>
      <w:r w:rsidR="00F1779F" w:rsidRPr="00427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Руслана Олександровича щодо відповідності Констит</w:t>
      </w:r>
      <w:r w:rsidR="00366C1B" w:rsidRPr="00427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уції України (конституційності) </w:t>
      </w:r>
      <w:r w:rsidR="00F1779F" w:rsidRPr="004279CA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</w:t>
      </w:r>
      <w:r w:rsidR="004279CA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1779F" w:rsidRPr="004279CA">
        <w:rPr>
          <w:rFonts w:ascii="Times New Roman" w:hAnsi="Times New Roman" w:cs="Times New Roman"/>
          <w:b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</w:t>
      </w:r>
      <w:r w:rsidR="00366C1B" w:rsidRPr="004279CA">
        <w:rPr>
          <w:rFonts w:ascii="Times New Roman" w:hAnsi="Times New Roman" w:cs="Times New Roman"/>
          <w:b/>
          <w:sz w:val="28"/>
          <w:szCs w:val="28"/>
          <w:lang w:val="uk-UA"/>
        </w:rPr>
        <w:t>ружного адміністративного суду“</w:t>
      </w:r>
      <w:r w:rsidR="00671FBB" w:rsidRPr="004279C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E3177D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1779F" w:rsidRPr="004279CA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 «Про внесення зміни до розділу ХІІ „Прикінцеві та перехідні положення“ З</w:t>
      </w:r>
      <w:r w:rsidR="00366C1B" w:rsidRPr="004279CA">
        <w:rPr>
          <w:rFonts w:ascii="Times New Roman" w:hAnsi="Times New Roman" w:cs="Times New Roman"/>
          <w:b/>
          <w:sz w:val="28"/>
          <w:szCs w:val="28"/>
          <w:lang w:val="uk-UA"/>
        </w:rPr>
        <w:t>акону України „Про судоустрій і</w:t>
      </w:r>
      <w:r w:rsidR="004279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9F" w:rsidRPr="004279CA">
        <w:rPr>
          <w:rFonts w:ascii="Times New Roman" w:hAnsi="Times New Roman" w:cs="Times New Roman"/>
          <w:b/>
          <w:sz w:val="28"/>
          <w:szCs w:val="28"/>
          <w:lang w:val="uk-UA"/>
        </w:rPr>
        <w:t>статус суддів“»</w:t>
      </w:r>
      <w:r w:rsidR="004279CA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53284F" w:rsidRPr="004279CA" w:rsidRDefault="0053284F" w:rsidP="004279CA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4279C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Pr="004279C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>Справа № 3-13/2025(26/25)</w:t>
      </w:r>
    </w:p>
    <w:p w:rsidR="0053284F" w:rsidRPr="004279CA" w:rsidRDefault="00D91FB9" w:rsidP="0042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7 жовтня</w:t>
      </w:r>
      <w:r w:rsidR="0053284F"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284F" w:rsidRPr="004279CA">
        <w:rPr>
          <w:rFonts w:ascii="Times New Roman" w:hAnsi="Times New Roman" w:cs="Times New Roman"/>
          <w:sz w:val="28"/>
          <w:szCs w:val="28"/>
          <w:lang w:val="ru-RU"/>
        </w:rPr>
        <w:t>2025 року</w:t>
      </w:r>
    </w:p>
    <w:p w:rsidR="0053284F" w:rsidRPr="004279CA" w:rsidRDefault="0053284F" w:rsidP="0042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79C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D91FB9" w:rsidRPr="004279CA">
        <w:rPr>
          <w:rFonts w:ascii="Times New Roman" w:hAnsi="Times New Roman" w:cs="Times New Roman"/>
          <w:sz w:val="28"/>
          <w:szCs w:val="28"/>
          <w:lang w:val="ru-RU"/>
        </w:rPr>
        <w:t>133</w:t>
      </w:r>
      <w:r w:rsidRPr="004279CA">
        <w:rPr>
          <w:rFonts w:ascii="Times New Roman" w:hAnsi="Times New Roman" w:cs="Times New Roman"/>
          <w:sz w:val="28"/>
          <w:szCs w:val="28"/>
          <w:lang w:val="ru-RU"/>
        </w:rPr>
        <w:t>-у/2025</w:t>
      </w:r>
    </w:p>
    <w:p w:rsidR="0053284F" w:rsidRPr="004279CA" w:rsidRDefault="0053284F" w:rsidP="004279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169E4" w:rsidRPr="004279CA" w:rsidRDefault="005169E4" w:rsidP="00427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4279CA" w:rsidRDefault="004279CA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3A7D0F" w:rsidRPr="004279CA" w:rsidRDefault="003A7D0F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Барабаша Юрія Григоровича,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Водяннікова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5169E4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53284F" w:rsidRPr="004279CA" w:rsidRDefault="005169E4" w:rsidP="004279C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4279CA" w:rsidRDefault="0053284F" w:rsidP="00427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500C53" w:rsidRPr="004279CA">
        <w:rPr>
          <w:rFonts w:ascii="Times New Roman" w:hAnsi="Times New Roman" w:cs="Times New Roman"/>
          <w:sz w:val="28"/>
          <w:szCs w:val="28"/>
          <w:lang w:val="uk-UA"/>
        </w:rPr>
        <w:t>Арсірія</w:t>
      </w:r>
      <w:proofErr w:type="spellEnd"/>
      <w:r w:rsidR="00500C53"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Руслана Олександровича щодо відповідності Конституції України </w:t>
      </w:r>
      <w:r w:rsidR="00500C53" w:rsidRPr="004279CA">
        <w:rPr>
          <w:rFonts w:ascii="Times New Roman" w:hAnsi="Times New Roman" w:cs="Times New Roman"/>
          <w:sz w:val="28"/>
          <w:szCs w:val="28"/>
          <w:lang w:val="uk-UA"/>
        </w:rPr>
        <w:lastRenderedPageBreak/>
        <w:t>(конституційності) Закону України „Про ліквідацію Окружного адміністративного суду міста Києва та утворення Київського міського ок</w:t>
      </w:r>
      <w:r w:rsidR="00E3177D">
        <w:rPr>
          <w:rFonts w:ascii="Times New Roman" w:hAnsi="Times New Roman" w:cs="Times New Roman"/>
          <w:sz w:val="28"/>
          <w:szCs w:val="28"/>
          <w:lang w:val="uk-UA"/>
        </w:rPr>
        <w:t>ружного адміністративного суду“</w:t>
      </w:r>
      <w:r w:rsidR="00671FBB" w:rsidRPr="004279C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0C53"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внесення зміни до розділу ХІІ „Прикінцеві та перехідні положення“ Закону України „Про судоустрій і статус суддів“»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79CA" w:rsidRDefault="0053284F" w:rsidP="00E3177D">
      <w:pPr>
        <w:spacing w:after="0" w:line="43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1D7019" w:rsidRPr="004279CA" w:rsidRDefault="001D7019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Велика палата Конституційного Суду </w:t>
      </w:r>
      <w:r w:rsidRP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України </w:t>
      </w:r>
      <w:r w:rsidR="00E3177D" w:rsidRP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хвал</w:t>
      </w:r>
      <w:r w:rsidR="00E3177D" w:rsidRP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ами</w:t>
      </w:r>
      <w:r w:rsidRP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B6B34" w:rsidRP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BB6B34"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22 липня</w:t>
      </w:r>
      <w:r w:rsidR="00E57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BB6B34"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="00E57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794C" w:rsidRPr="004279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57-у/2025</w:t>
      </w:r>
      <w:r w:rsidR="00BB6B34" w:rsidRPr="004279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B6B34" w:rsidRPr="004279CA">
        <w:rPr>
          <w:rFonts w:ascii="Times New Roman" w:hAnsi="Times New Roman" w:cs="Times New Roman"/>
          <w:sz w:val="28"/>
          <w:szCs w:val="28"/>
          <w:lang w:val="uk-UA"/>
        </w:rPr>
        <w:t>подовжила</w:t>
      </w:r>
      <w:r w:rsidR="00BB6B34"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9 вересня 2025 року</w:t>
      </w:r>
      <w:r w:rsid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BB6B34"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24E5E"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4 вересня</w:t>
      </w:r>
      <w:r w:rsidR="00E3177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024E5E"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 року</w:t>
      </w:r>
      <w:r w:rsidR="00E5794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794C" w:rsidRPr="004279C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№ 90-у/2025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B34" w:rsidRPr="004279CA">
        <w:rPr>
          <w:rFonts w:ascii="Times New Roman" w:hAnsi="Times New Roman" w:cs="Times New Roman"/>
          <w:sz w:val="28"/>
          <w:szCs w:val="28"/>
          <w:lang w:val="uk-UA"/>
        </w:rPr>
        <w:t>подовжила до 2 жовтня</w:t>
      </w:r>
      <w:r w:rsidR="00E57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6B34" w:rsidRPr="004279CA">
        <w:rPr>
          <w:rFonts w:ascii="Times New Roman" w:hAnsi="Times New Roman" w:cs="Times New Roman"/>
          <w:sz w:val="28"/>
          <w:szCs w:val="28"/>
          <w:lang w:val="uk-UA"/>
        </w:rPr>
        <w:t>2025 року</w:t>
      </w:r>
      <w:r w:rsidR="00BB6B34"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Арсірія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Руслана Олександровича щодо відповідності Конституції України (конституційності) Закону України „Про ліквідацію 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lastRenderedPageBreak/>
        <w:t>Окружного адміністративного суду міста Києва та утворення Київського міського окружного адміністративного суду“, Закону України «Про внесення зміни до розділу ХІІ „Прикінцеві та перехідні положення“ Закону України</w:t>
      </w:r>
      <w:r w:rsidR="00E5794C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>„Про судоустрій і статус суддів“» (</w:t>
      </w: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="00E57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>29 січня 2025 року суд</w:t>
      </w:r>
      <w:r w:rsidR="00BB6B34" w:rsidRPr="004279CA">
        <w:rPr>
          <w:rFonts w:ascii="Times New Roman" w:hAnsi="Times New Roman" w:cs="Times New Roman"/>
          <w:sz w:val="28"/>
          <w:szCs w:val="28"/>
          <w:lang w:val="uk-UA"/>
        </w:rPr>
        <w:t>ді Конституційного Суду України</w:t>
      </w:r>
      <w:r w:rsidR="00E317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279CA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4279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</w:t>
      </w:r>
      <w:r w:rsidR="001D7019"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повторно 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>звернувся з клопотанням про подовження строку для постановлення</w:t>
      </w:r>
      <w:r w:rsidR="001D7019" w:rsidRPr="004279CA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Першою колегією суддів Першого сенату Конституційного Суду України ухвали про відкриття або про відмову у відкритті конституційного провадження у </w:t>
      </w:r>
      <w:r w:rsidR="001D7019"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цій 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>справі.</w:t>
      </w: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4279CA" w:rsidRDefault="00F1779F" w:rsidP="00E3177D">
      <w:pPr>
        <w:spacing w:after="0" w:line="432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4279CA" w:rsidRDefault="005169E4" w:rsidP="00E3177D">
      <w:pPr>
        <w:spacing w:after="0" w:line="432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b/>
          <w:sz w:val="28"/>
          <w:szCs w:val="28"/>
          <w:lang w:val="uk-UA"/>
        </w:rPr>
        <w:t>п о с т а н о в и л а:</w:t>
      </w: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4279CA" w:rsidRDefault="0053284F" w:rsidP="00E3177D">
      <w:pPr>
        <w:spacing w:after="0" w:line="432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D91FB9" w:rsidRPr="004279CA">
        <w:rPr>
          <w:rFonts w:ascii="Times New Roman" w:hAnsi="Times New Roman" w:cs="Times New Roman"/>
          <w:sz w:val="28"/>
          <w:szCs w:val="28"/>
          <w:lang w:val="uk-UA"/>
        </w:rPr>
        <w:t>6 листопада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4279C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671FBB" w:rsidRPr="004279CA">
        <w:rPr>
          <w:rFonts w:ascii="Times New Roman" w:hAnsi="Times New Roman" w:cs="Times New Roman"/>
          <w:sz w:val="28"/>
          <w:szCs w:val="28"/>
          <w:lang w:val="uk-UA"/>
        </w:rPr>
        <w:t>Арсірія</w:t>
      </w:r>
      <w:proofErr w:type="spellEnd"/>
      <w:r w:rsidR="00671FBB" w:rsidRPr="004279CA">
        <w:rPr>
          <w:rFonts w:ascii="Times New Roman" w:hAnsi="Times New Roman" w:cs="Times New Roman"/>
          <w:sz w:val="28"/>
          <w:szCs w:val="28"/>
          <w:lang w:val="uk-UA"/>
        </w:rPr>
        <w:t xml:space="preserve"> Руслана Олександровича щодо відповідності Конституції України (конституційності) Закону України „Про ліквідацію Окружного адміністративного суду міста Києва та утворення Київського міського окружного адміністративного суду“, Закону України «Про внесення </w:t>
      </w:r>
      <w:r w:rsidR="00671FBB" w:rsidRPr="004279CA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зміни до розділу ХІІ „Прикінцеві та перехідні положення“ Закону України</w:t>
      </w:r>
      <w:r w:rsidR="00E3177D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1FBB" w:rsidRPr="004279CA">
        <w:rPr>
          <w:rFonts w:ascii="Times New Roman" w:hAnsi="Times New Roman" w:cs="Times New Roman"/>
          <w:sz w:val="28"/>
          <w:szCs w:val="28"/>
          <w:lang w:val="uk-UA"/>
        </w:rPr>
        <w:t>„Про судоустрій і статус суддів“».</w:t>
      </w:r>
    </w:p>
    <w:p w:rsidR="0053284F" w:rsidRDefault="0053284F" w:rsidP="00427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79CA" w:rsidRDefault="004279CA" w:rsidP="00427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7217" w:rsidRDefault="00457217" w:rsidP="00427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7217" w:rsidRDefault="00457217" w:rsidP="00427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7217" w:rsidRDefault="00457217" w:rsidP="00457217">
      <w:pPr>
        <w:pStyle w:val="aa"/>
        <w:ind w:left="4254" w:firstLine="0"/>
        <w:contextualSpacing/>
        <w:jc w:val="center"/>
        <w:rPr>
          <w:caps/>
          <w:szCs w:val="28"/>
        </w:rPr>
      </w:pPr>
      <w:r>
        <w:rPr>
          <w:caps/>
          <w:szCs w:val="28"/>
        </w:rPr>
        <w:t>Велика палата</w:t>
      </w:r>
    </w:p>
    <w:p w:rsidR="00457217" w:rsidRDefault="00457217" w:rsidP="00457217">
      <w:pPr>
        <w:pStyle w:val="aa"/>
        <w:ind w:left="4254" w:firstLine="0"/>
        <w:contextualSpacing/>
        <w:jc w:val="center"/>
        <w:rPr>
          <w:b w:val="0"/>
          <w:caps/>
          <w:szCs w:val="28"/>
        </w:rPr>
      </w:pPr>
      <w:r>
        <w:rPr>
          <w:caps/>
          <w:szCs w:val="28"/>
        </w:rPr>
        <w:t>Конституційного Суду України</w:t>
      </w:r>
    </w:p>
    <w:p w:rsidR="00457217" w:rsidRPr="004279CA" w:rsidRDefault="00457217" w:rsidP="004279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57217" w:rsidRPr="004279CA" w:rsidSect="004279CA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44D" w:rsidRDefault="000B744D" w:rsidP="0053284F">
      <w:pPr>
        <w:spacing w:after="0" w:line="240" w:lineRule="auto"/>
      </w:pPr>
      <w:r>
        <w:separator/>
      </w:r>
    </w:p>
  </w:endnote>
  <w:endnote w:type="continuationSeparator" w:id="0">
    <w:p w:rsidR="000B744D" w:rsidRDefault="000B744D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CA" w:rsidRPr="004279CA" w:rsidRDefault="004279CA">
    <w:pPr>
      <w:pStyle w:val="a5"/>
      <w:rPr>
        <w:rFonts w:ascii="Times New Roman" w:hAnsi="Times New Roman" w:cs="Times New Roman"/>
        <w:sz w:val="10"/>
        <w:szCs w:val="10"/>
      </w:rPr>
    </w:pPr>
    <w:r w:rsidRPr="004279CA">
      <w:rPr>
        <w:rFonts w:ascii="Times New Roman" w:hAnsi="Times New Roman" w:cs="Times New Roman"/>
        <w:sz w:val="10"/>
        <w:szCs w:val="10"/>
      </w:rPr>
      <w:fldChar w:fldCharType="begin"/>
    </w:r>
    <w:r w:rsidRPr="004279CA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4279CA">
      <w:rPr>
        <w:rFonts w:ascii="Times New Roman" w:hAnsi="Times New Roman" w:cs="Times New Roman"/>
        <w:sz w:val="10"/>
        <w:szCs w:val="10"/>
      </w:rPr>
      <w:fldChar w:fldCharType="separate"/>
    </w:r>
    <w:r w:rsidR="00457217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VP\175.docx</w:t>
    </w:r>
    <w:r w:rsidRPr="004279C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CA" w:rsidRPr="004279CA" w:rsidRDefault="004279CA">
    <w:pPr>
      <w:pStyle w:val="a5"/>
      <w:rPr>
        <w:rFonts w:ascii="Times New Roman" w:hAnsi="Times New Roman" w:cs="Times New Roman"/>
        <w:sz w:val="10"/>
        <w:szCs w:val="10"/>
      </w:rPr>
    </w:pPr>
    <w:r w:rsidRPr="004279CA">
      <w:rPr>
        <w:rFonts w:ascii="Times New Roman" w:hAnsi="Times New Roman" w:cs="Times New Roman"/>
        <w:sz w:val="10"/>
        <w:szCs w:val="10"/>
      </w:rPr>
      <w:fldChar w:fldCharType="begin"/>
    </w:r>
    <w:r w:rsidRPr="004279CA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4279CA">
      <w:rPr>
        <w:rFonts w:ascii="Times New Roman" w:hAnsi="Times New Roman" w:cs="Times New Roman"/>
        <w:sz w:val="10"/>
        <w:szCs w:val="10"/>
      </w:rPr>
      <w:fldChar w:fldCharType="separate"/>
    </w:r>
    <w:r w:rsidR="00457217">
      <w:rPr>
        <w:rFonts w:ascii="Times New Roman" w:hAnsi="Times New Roman" w:cs="Times New Roman"/>
        <w:noProof/>
        <w:sz w:val="10"/>
        <w:szCs w:val="10"/>
        <w:lang w:val="uk-UA"/>
      </w:rPr>
      <w:t>S:\Mashburo\2025\Suddi\Uhvala VP\175.docx</w:t>
    </w:r>
    <w:r w:rsidRPr="004279C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44D" w:rsidRDefault="000B744D" w:rsidP="0053284F">
      <w:pPr>
        <w:spacing w:after="0" w:line="240" w:lineRule="auto"/>
      </w:pPr>
      <w:r>
        <w:separator/>
      </w:r>
    </w:p>
  </w:footnote>
  <w:footnote w:type="continuationSeparator" w:id="0">
    <w:p w:rsidR="000B744D" w:rsidRDefault="000B744D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217" w:rsidRPr="00457217">
          <w:rPr>
            <w:rFonts w:ascii="Times New Roman" w:hAnsi="Times New Roman" w:cs="Times New Roman"/>
            <w:noProof/>
            <w:sz w:val="28"/>
            <w:szCs w:val="28"/>
            <w:lang w:val="uk-UA"/>
          </w:rPr>
          <w:t>3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24E5E"/>
    <w:rsid w:val="000B744D"/>
    <w:rsid w:val="001A2C6A"/>
    <w:rsid w:val="001D7019"/>
    <w:rsid w:val="00317120"/>
    <w:rsid w:val="00366C1B"/>
    <w:rsid w:val="003A7D0F"/>
    <w:rsid w:val="004270BA"/>
    <w:rsid w:val="004279CA"/>
    <w:rsid w:val="00457217"/>
    <w:rsid w:val="00500C53"/>
    <w:rsid w:val="005169E4"/>
    <w:rsid w:val="0053284F"/>
    <w:rsid w:val="005B4832"/>
    <w:rsid w:val="00671FBB"/>
    <w:rsid w:val="00770C28"/>
    <w:rsid w:val="00913C08"/>
    <w:rsid w:val="009C57C6"/>
    <w:rsid w:val="00BB6B34"/>
    <w:rsid w:val="00C90557"/>
    <w:rsid w:val="00D91FB9"/>
    <w:rsid w:val="00E3177D"/>
    <w:rsid w:val="00E5794C"/>
    <w:rsid w:val="00F1779F"/>
    <w:rsid w:val="00F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1AA4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427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45721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sz w:val="28"/>
      <w:szCs w:val="20"/>
      <w:lang w:val="uk-UA" w:eastAsia="ru-RU"/>
    </w:rPr>
  </w:style>
  <w:style w:type="character" w:customStyle="1" w:styleId="ab">
    <w:name w:val="Основний текст з відступом Знак"/>
    <w:basedOn w:val="a0"/>
    <w:link w:val="aa"/>
    <w:rsid w:val="00457217"/>
    <w:rPr>
      <w:rFonts w:ascii="Times New Roman" w:eastAsia="Calibri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2812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Олена Б. Алєксєйченко</cp:lastModifiedBy>
  <cp:revision>8</cp:revision>
  <cp:lastPrinted>2025-10-15T07:42:00Z</cp:lastPrinted>
  <dcterms:created xsi:type="dcterms:W3CDTF">2025-10-08T06:50:00Z</dcterms:created>
  <dcterms:modified xsi:type="dcterms:W3CDTF">2025-10-15T07:42:00Z</dcterms:modified>
</cp:coreProperties>
</file>