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40" w:rsidRPr="00DA6140" w:rsidRDefault="00DA6140" w:rsidP="006A63D9">
      <w:pPr>
        <w:tabs>
          <w:tab w:val="left" w:pos="8647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3D9" w:rsidRDefault="006A63D9" w:rsidP="006A63D9">
      <w:pPr>
        <w:pStyle w:val="aa"/>
        <w:ind w:left="0" w:right="-1"/>
        <w:rPr>
          <w:szCs w:val="28"/>
        </w:rPr>
      </w:pPr>
    </w:p>
    <w:p w:rsidR="006A63D9" w:rsidRDefault="006A63D9" w:rsidP="006A63D9">
      <w:pPr>
        <w:pStyle w:val="aa"/>
        <w:ind w:left="0" w:right="-1"/>
        <w:rPr>
          <w:szCs w:val="28"/>
        </w:rPr>
      </w:pPr>
    </w:p>
    <w:p w:rsidR="006A63D9" w:rsidRDefault="006A63D9" w:rsidP="006A63D9">
      <w:pPr>
        <w:pStyle w:val="aa"/>
        <w:ind w:left="0" w:right="-1"/>
        <w:rPr>
          <w:szCs w:val="28"/>
        </w:rPr>
      </w:pPr>
    </w:p>
    <w:p w:rsidR="006A63D9" w:rsidRDefault="006A63D9" w:rsidP="006A63D9">
      <w:pPr>
        <w:pStyle w:val="aa"/>
        <w:ind w:left="0" w:right="-1"/>
        <w:rPr>
          <w:szCs w:val="28"/>
        </w:rPr>
      </w:pPr>
    </w:p>
    <w:p w:rsidR="006A63D9" w:rsidRDefault="006A63D9" w:rsidP="006A63D9">
      <w:pPr>
        <w:pStyle w:val="aa"/>
        <w:ind w:left="0" w:right="-1"/>
        <w:rPr>
          <w:szCs w:val="28"/>
        </w:rPr>
      </w:pPr>
    </w:p>
    <w:p w:rsidR="006A63D9" w:rsidRDefault="006A63D9" w:rsidP="006A63D9">
      <w:pPr>
        <w:pStyle w:val="aa"/>
        <w:ind w:left="0" w:right="-1"/>
        <w:rPr>
          <w:szCs w:val="28"/>
        </w:rPr>
      </w:pPr>
    </w:p>
    <w:p w:rsidR="00536581" w:rsidRPr="00536581" w:rsidRDefault="00F805CD" w:rsidP="006A63D9">
      <w:pPr>
        <w:pStyle w:val="aa"/>
        <w:ind w:left="0" w:right="-1"/>
        <w:rPr>
          <w:szCs w:val="28"/>
        </w:rPr>
      </w:pPr>
      <w:r w:rsidRPr="000C0DE0">
        <w:rPr>
          <w:szCs w:val="28"/>
        </w:rPr>
        <w:t>про відмову у відкритті конституційного провадження у справі за конституційною скаргою</w:t>
      </w:r>
      <w:r w:rsidR="00536581" w:rsidRPr="00536581">
        <w:rPr>
          <w:bCs/>
          <w:szCs w:val="28"/>
        </w:rPr>
        <w:t xml:space="preserve"> </w:t>
      </w:r>
      <w:r w:rsidR="00536581" w:rsidRPr="00536581">
        <w:rPr>
          <w:szCs w:val="28"/>
        </w:rPr>
        <w:t>Берлін Ольги Юріївни</w:t>
      </w:r>
      <w:r w:rsidR="00536581">
        <w:rPr>
          <w:szCs w:val="28"/>
        </w:rPr>
        <w:t xml:space="preserve"> щодо відповідності Конституції</w:t>
      </w:r>
      <w:r w:rsidR="00536581" w:rsidRPr="00536581">
        <w:rPr>
          <w:szCs w:val="28"/>
        </w:rPr>
        <w:t xml:space="preserve"> Укр</w:t>
      </w:r>
      <w:r w:rsidR="00536581">
        <w:rPr>
          <w:szCs w:val="28"/>
        </w:rPr>
        <w:t xml:space="preserve">аїни </w:t>
      </w:r>
      <w:r w:rsidR="00536581" w:rsidRPr="00536581">
        <w:rPr>
          <w:szCs w:val="28"/>
        </w:rPr>
        <w:t>(конституційності) окремого припису частини першої</w:t>
      </w:r>
      <w:r w:rsidR="002265F7">
        <w:rPr>
          <w:szCs w:val="28"/>
        </w:rPr>
        <w:br/>
      </w:r>
      <w:r w:rsidR="00536581" w:rsidRPr="00536581">
        <w:rPr>
          <w:szCs w:val="28"/>
        </w:rPr>
        <w:t xml:space="preserve"> </w:t>
      </w:r>
      <w:r w:rsidR="002265F7">
        <w:rPr>
          <w:szCs w:val="28"/>
        </w:rPr>
        <w:tab/>
      </w:r>
      <w:r w:rsidR="002265F7">
        <w:rPr>
          <w:szCs w:val="28"/>
        </w:rPr>
        <w:tab/>
        <w:t xml:space="preserve">      </w:t>
      </w:r>
      <w:r w:rsidR="00536581" w:rsidRPr="00536581">
        <w:rPr>
          <w:szCs w:val="28"/>
        </w:rPr>
        <w:t>статті 46 Кодексу законів про працю України</w:t>
      </w:r>
    </w:p>
    <w:p w:rsidR="00DA6140" w:rsidRPr="00DA6140" w:rsidRDefault="00F805CD" w:rsidP="006A63D9">
      <w:pPr>
        <w:pStyle w:val="aa"/>
        <w:tabs>
          <w:tab w:val="left" w:pos="8080"/>
        </w:tabs>
        <w:ind w:left="993" w:right="1416"/>
        <w:rPr>
          <w:b w:val="0"/>
          <w:szCs w:val="28"/>
        </w:rPr>
      </w:pPr>
      <w:r w:rsidRPr="000C0DE0">
        <w:rPr>
          <w:szCs w:val="28"/>
        </w:rPr>
        <w:t xml:space="preserve"> </w:t>
      </w:r>
    </w:p>
    <w:p w:rsidR="00DA6140" w:rsidRPr="00DA6140" w:rsidRDefault="00DA6140" w:rsidP="006A63D9">
      <w:pPr>
        <w:spacing w:after="0" w:line="240" w:lineRule="auto"/>
        <w:ind w:right="42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DA6140" w:rsidRDefault="00DA6140" w:rsidP="006A63D9">
      <w:pPr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61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A61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A61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A61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</w:t>
      </w:r>
      <w:r w:rsidR="006A63D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</w:t>
      </w:r>
      <w:r w:rsidRPr="00DA61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Справа № </w:t>
      </w:r>
      <w:r w:rsidRPr="00EF60EE">
        <w:rPr>
          <w:rFonts w:ascii="Times New Roman" w:eastAsia="Times New Roman" w:hAnsi="Times New Roman"/>
          <w:bCs/>
          <w:sz w:val="28"/>
          <w:szCs w:val="28"/>
          <w:lang w:eastAsia="ru-RU"/>
        </w:rPr>
        <w:t>3-</w:t>
      </w:r>
      <w:r w:rsidR="00536581">
        <w:rPr>
          <w:rFonts w:ascii="Times New Roman" w:eastAsia="Times New Roman" w:hAnsi="Times New Roman"/>
          <w:bCs/>
          <w:sz w:val="28"/>
          <w:szCs w:val="28"/>
          <w:lang w:eastAsia="ru-RU"/>
        </w:rPr>
        <w:t>127/2023(234</w:t>
      </w:r>
      <w:r w:rsidR="00700EF0" w:rsidRPr="00EF60EE">
        <w:rPr>
          <w:rFonts w:ascii="Times New Roman" w:eastAsia="Times New Roman" w:hAnsi="Times New Roman"/>
          <w:bCs/>
          <w:sz w:val="28"/>
          <w:szCs w:val="28"/>
          <w:lang w:eastAsia="ru-RU"/>
        </w:rPr>
        <w:t>/23</w:t>
      </w:r>
      <w:r w:rsidRPr="00EF60E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DA61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 w:rsidR="00700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9F33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C1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022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63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 </w:t>
      </w:r>
      <w:r w:rsidR="00D03BBD">
        <w:rPr>
          <w:rFonts w:ascii="Times New Roman" w:eastAsia="Times New Roman" w:hAnsi="Times New Roman"/>
          <w:bCs/>
          <w:sz w:val="28"/>
          <w:szCs w:val="28"/>
          <w:lang w:eastAsia="ru-RU"/>
        </w:rPr>
        <w:t>липня</w:t>
      </w:r>
      <w:r w:rsidR="008D6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Pr="00DA61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DA6140" w:rsidRDefault="008D6098" w:rsidP="006A63D9">
      <w:pPr>
        <w:spacing w:after="0" w:line="240" w:lineRule="auto"/>
        <w:ind w:right="102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0465CF">
        <w:rPr>
          <w:rFonts w:ascii="Times New Roman" w:eastAsia="Times New Roman" w:hAnsi="Times New Roman"/>
          <w:bCs/>
          <w:sz w:val="28"/>
          <w:szCs w:val="28"/>
          <w:lang w:eastAsia="ru-RU"/>
        </w:rPr>
        <w:t>129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-1(І)/2023</w:t>
      </w:r>
    </w:p>
    <w:p w:rsidR="00DA6140" w:rsidRDefault="00DA6140" w:rsidP="006A63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3D9" w:rsidRPr="00DA6140" w:rsidRDefault="006A63D9" w:rsidP="006A63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DA6140" w:rsidRDefault="00DA6140" w:rsidP="006A6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Перша колегія суддів Першого сенату Конституційного Суду України </w:t>
      </w:r>
      <w:r w:rsidR="006A63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>у складі:</w:t>
      </w:r>
    </w:p>
    <w:p w:rsidR="00DA6140" w:rsidRPr="00DA6140" w:rsidRDefault="00DA6140" w:rsidP="006A6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DA6140" w:rsidRDefault="00DA6140" w:rsidP="006A6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DA6140" w:rsidRDefault="00DA6140" w:rsidP="006A6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DA6140" w:rsidRDefault="00DA6140" w:rsidP="006A6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>Філюк</w:t>
      </w:r>
      <w:proofErr w:type="spellEnd"/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 </w:t>
      </w:r>
      <w:proofErr w:type="spellStart"/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>Тодосьович</w:t>
      </w:r>
      <w:proofErr w:type="spellEnd"/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A6140" w:rsidRPr="00DA6140" w:rsidRDefault="00DA6140" w:rsidP="006A63D9">
      <w:pPr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615" w:rsidRPr="00B0626B" w:rsidRDefault="00DA6140" w:rsidP="006A63D9">
      <w:pPr>
        <w:pStyle w:val="20"/>
        <w:spacing w:after="0" w:line="348" w:lineRule="auto"/>
        <w:ind w:firstLine="567"/>
        <w:jc w:val="both"/>
      </w:pPr>
      <w:r w:rsidRPr="008D6098">
        <w:t xml:space="preserve">розглянула на засіданні питання про відкриття конституційного провадження у справі за конституційною </w:t>
      </w:r>
      <w:r w:rsidR="00536581" w:rsidRPr="00536581">
        <w:t>скаргою Берлін Ольги Юріївни щодо відповідності Конституції  України  (конституційності) окремого припису частини першої статті 46 Кодексу законів про працю України</w:t>
      </w:r>
      <w:r w:rsidR="00536581">
        <w:t>.</w:t>
      </w:r>
    </w:p>
    <w:p w:rsidR="006A63D9" w:rsidRDefault="006A63D9" w:rsidP="006A63D9">
      <w:pPr>
        <w:spacing w:after="0" w:line="348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DA6140" w:rsidRDefault="00DA6140" w:rsidP="006A63D9">
      <w:pPr>
        <w:spacing w:after="0" w:line="348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9909DE" w:rsidRDefault="009909DE" w:rsidP="006A63D9">
      <w:pPr>
        <w:spacing w:after="0" w:line="348" w:lineRule="auto"/>
        <w:ind w:right="-2"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DA6140" w:rsidRDefault="00DA6140" w:rsidP="006A63D9">
      <w:pPr>
        <w:spacing w:after="0" w:line="348" w:lineRule="auto"/>
        <w:ind w:right="-2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DA6140" w:rsidRPr="00C833B4" w:rsidRDefault="00DA6140" w:rsidP="006A63D9">
      <w:pPr>
        <w:spacing w:after="0" w:line="348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3D9" w:rsidRDefault="006A63D9" w:rsidP="006A63D9">
      <w:pPr>
        <w:pStyle w:val="20"/>
        <w:spacing w:after="0" w:line="348" w:lineRule="auto"/>
        <w:ind w:firstLine="567"/>
        <w:jc w:val="both"/>
      </w:pPr>
      <w:r>
        <w:t>1. </w:t>
      </w:r>
      <w:r w:rsidR="00536581">
        <w:t>Берлін О</w:t>
      </w:r>
      <w:r w:rsidR="00EB458D">
        <w:t>.</w:t>
      </w:r>
      <w:r w:rsidR="00536581">
        <w:t>Ю</w:t>
      </w:r>
      <w:r w:rsidR="00FE4F45">
        <w:t>.</w:t>
      </w:r>
      <w:r w:rsidR="00E051E8">
        <w:t xml:space="preserve"> </w:t>
      </w:r>
      <w:r w:rsidR="00536581">
        <w:t>звернулася</w:t>
      </w:r>
      <w:r w:rsidR="00E051E8" w:rsidRPr="00700EF0">
        <w:t xml:space="preserve"> до Конституційного Суду України </w:t>
      </w:r>
      <w:r>
        <w:br/>
      </w:r>
      <w:r w:rsidR="00E051E8" w:rsidRPr="00700EF0">
        <w:t xml:space="preserve">з клопотанням </w:t>
      </w:r>
      <w:r w:rsidR="00B5777C">
        <w:t>перевірити на</w:t>
      </w:r>
      <w:r w:rsidR="00E051E8" w:rsidRPr="00700EF0">
        <w:t xml:space="preserve"> відповід</w:t>
      </w:r>
      <w:r w:rsidR="00B5777C">
        <w:t>ність</w:t>
      </w:r>
      <w:r w:rsidR="00FE4F45" w:rsidRPr="00FE4F45">
        <w:t xml:space="preserve"> </w:t>
      </w:r>
      <w:r w:rsidR="00A67404">
        <w:t>приписам статей</w:t>
      </w:r>
      <w:r w:rsidR="00DE44BD">
        <w:t xml:space="preserve"> 1, 3, </w:t>
      </w:r>
      <w:r w:rsidR="00FE4F45">
        <w:t>частини другої</w:t>
      </w:r>
      <w:r w:rsidR="00DE44BD">
        <w:t xml:space="preserve"> статті 6, частини</w:t>
      </w:r>
      <w:r w:rsidR="00FE4F45">
        <w:t xml:space="preserve"> </w:t>
      </w:r>
      <w:r w:rsidR="00DE44BD">
        <w:t xml:space="preserve">першої статті 8, частини другої </w:t>
      </w:r>
      <w:r w:rsidR="00FE4F45">
        <w:t>статті 19,</w:t>
      </w:r>
      <w:r w:rsidR="00FE4F45" w:rsidRPr="00FE4F45">
        <w:t xml:space="preserve"> </w:t>
      </w:r>
      <w:r w:rsidR="002A6987">
        <w:t>частин</w:t>
      </w:r>
      <w:r w:rsidR="00FE4F45">
        <w:t xml:space="preserve"> </w:t>
      </w:r>
      <w:r w:rsidR="00DE44BD">
        <w:t xml:space="preserve">першої, </w:t>
      </w:r>
      <w:r w:rsidR="00FE4F45">
        <w:t>дру</w:t>
      </w:r>
      <w:r w:rsidR="00DE44BD">
        <w:t xml:space="preserve">гої </w:t>
      </w:r>
      <w:r w:rsidR="00DE44BD">
        <w:lastRenderedPageBreak/>
        <w:t>статті 43</w:t>
      </w:r>
      <w:r w:rsidR="00FE4F45">
        <w:t xml:space="preserve">, </w:t>
      </w:r>
      <w:r w:rsidR="00DE44BD">
        <w:t>статті 48</w:t>
      </w:r>
      <w:r w:rsidR="002A6987">
        <w:t>,</w:t>
      </w:r>
      <w:r w:rsidR="00A67404">
        <w:t xml:space="preserve"> статті 64, пункту 1 </w:t>
      </w:r>
      <w:r w:rsidR="00DE44BD">
        <w:t xml:space="preserve">частини першої  статті 92 </w:t>
      </w:r>
      <w:r w:rsidR="00FE4F45">
        <w:t xml:space="preserve">Конституції України (конституційність) </w:t>
      </w:r>
      <w:r w:rsidR="002A6987">
        <w:t>окремий припис</w:t>
      </w:r>
      <w:r w:rsidR="00DE44BD" w:rsidRPr="00DE44BD">
        <w:t xml:space="preserve"> ч</w:t>
      </w:r>
      <w:r>
        <w:t xml:space="preserve">астини першої </w:t>
      </w:r>
      <w:r w:rsidR="00A67404">
        <w:t xml:space="preserve">статті 46 Кодексу </w:t>
      </w:r>
      <w:r w:rsidR="00DE44BD" w:rsidRPr="00DE44BD">
        <w:t>законів про працю України</w:t>
      </w:r>
      <w:r w:rsidR="00DE44BD">
        <w:t xml:space="preserve"> (далі – Кодекс).</w:t>
      </w:r>
    </w:p>
    <w:p w:rsidR="006730C3" w:rsidRDefault="007D4FE2" w:rsidP="006A63D9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Згідно з</w:t>
      </w:r>
      <w:r w:rsidR="00212365">
        <w:rPr>
          <w:sz w:val="28"/>
          <w:szCs w:val="28"/>
        </w:rPr>
        <w:t xml:space="preserve"> оспорюваним приписом</w:t>
      </w:r>
      <w:r>
        <w:rPr>
          <w:sz w:val="28"/>
          <w:szCs w:val="28"/>
        </w:rPr>
        <w:t xml:space="preserve"> </w:t>
      </w:r>
      <w:r w:rsidR="00BB429A" w:rsidRPr="00CE2AEB">
        <w:rPr>
          <w:color w:val="000000"/>
          <w:sz w:val="28"/>
          <w:szCs w:val="28"/>
        </w:rPr>
        <w:t>Кодексу</w:t>
      </w:r>
      <w:r w:rsidR="006D37CA" w:rsidRPr="00CE2AEB">
        <w:rPr>
          <w:color w:val="000000"/>
          <w:sz w:val="28"/>
          <w:szCs w:val="28"/>
        </w:rPr>
        <w:t xml:space="preserve"> </w:t>
      </w:r>
      <w:r w:rsidR="002A6987" w:rsidRPr="00577F00">
        <w:rPr>
          <w:color w:val="000000"/>
          <w:sz w:val="28"/>
          <w:szCs w:val="28"/>
          <w:lang w:eastAsia="ru-RU"/>
        </w:rPr>
        <w:t>„</w:t>
      </w:r>
      <w:r w:rsidR="00212365">
        <w:rPr>
          <w:color w:val="000000"/>
          <w:sz w:val="28"/>
          <w:szCs w:val="28"/>
        </w:rPr>
        <w:t>в</w:t>
      </w:r>
      <w:r w:rsidR="00212365" w:rsidRPr="00212365">
        <w:rPr>
          <w:color w:val="000000"/>
          <w:sz w:val="28"/>
          <w:szCs w:val="28"/>
        </w:rPr>
        <w:t>ідсторонення працівників від роботи роботодавцем допускається у разі:</w:t>
      </w:r>
      <w:r w:rsidR="002A6987">
        <w:rPr>
          <w:color w:val="000000"/>
          <w:sz w:val="28"/>
          <w:szCs w:val="28"/>
        </w:rPr>
        <w:t xml:space="preserve"> &lt;</w:t>
      </w:r>
      <w:r w:rsidR="00717DDA">
        <w:rPr>
          <w:color w:val="000000"/>
          <w:sz w:val="28"/>
          <w:szCs w:val="28"/>
        </w:rPr>
        <w:t>…</w:t>
      </w:r>
      <w:r w:rsidR="002A6987">
        <w:rPr>
          <w:color w:val="000000"/>
          <w:sz w:val="28"/>
          <w:szCs w:val="28"/>
        </w:rPr>
        <w:t xml:space="preserve">&gt; </w:t>
      </w:r>
      <w:r w:rsidR="00212365" w:rsidRPr="00212365">
        <w:rPr>
          <w:color w:val="000000"/>
          <w:sz w:val="28"/>
          <w:szCs w:val="28"/>
        </w:rPr>
        <w:t>в інших випадк</w:t>
      </w:r>
      <w:r w:rsidR="00212365">
        <w:rPr>
          <w:color w:val="000000"/>
          <w:sz w:val="28"/>
          <w:szCs w:val="28"/>
        </w:rPr>
        <w:t>ах, передбачених законодавством</w:t>
      </w:r>
      <w:r w:rsidR="002A6987" w:rsidRPr="00307F62">
        <w:rPr>
          <w:sz w:val="28"/>
          <w:szCs w:val="28"/>
          <w:lang w:eastAsia="ru-RU"/>
        </w:rPr>
        <w:t>“</w:t>
      </w:r>
      <w:r w:rsidR="00212365">
        <w:rPr>
          <w:color w:val="000000"/>
          <w:sz w:val="28"/>
          <w:szCs w:val="28"/>
        </w:rPr>
        <w:t xml:space="preserve"> </w:t>
      </w:r>
      <w:r w:rsidR="00212365">
        <w:rPr>
          <w:sz w:val="28"/>
          <w:szCs w:val="28"/>
          <w:shd w:val="clear" w:color="auto" w:fill="FFFFFF"/>
        </w:rPr>
        <w:t>(частина перша статті 46</w:t>
      </w:r>
      <w:r w:rsidR="002F003F">
        <w:rPr>
          <w:sz w:val="28"/>
          <w:szCs w:val="28"/>
          <w:shd w:val="clear" w:color="auto" w:fill="FFFFFF"/>
        </w:rPr>
        <w:t>)</w:t>
      </w:r>
      <w:r w:rsidR="002F003F" w:rsidRPr="002F003F">
        <w:rPr>
          <w:sz w:val="28"/>
          <w:szCs w:val="28"/>
          <w:shd w:val="clear" w:color="auto" w:fill="FFFFFF"/>
        </w:rPr>
        <w:t>.</w:t>
      </w:r>
    </w:p>
    <w:p w:rsidR="009619C0" w:rsidRPr="009619C0" w:rsidRDefault="00717DDA" w:rsidP="006A63D9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Берлін О.Ю</w:t>
      </w:r>
      <w:r w:rsidR="009619C0">
        <w:rPr>
          <w:sz w:val="28"/>
          <w:szCs w:val="28"/>
        </w:rPr>
        <w:t xml:space="preserve">. стверджує, що </w:t>
      </w:r>
      <w:r w:rsidR="009619C0" w:rsidRPr="00577F00">
        <w:rPr>
          <w:color w:val="000000"/>
          <w:sz w:val="28"/>
          <w:szCs w:val="28"/>
          <w:lang w:eastAsia="ru-RU"/>
        </w:rPr>
        <w:t>„</w:t>
      </w:r>
      <w:r w:rsidR="009619C0" w:rsidRPr="009619C0">
        <w:rPr>
          <w:sz w:val="28"/>
          <w:szCs w:val="28"/>
        </w:rPr>
        <w:t>відсто</w:t>
      </w:r>
      <w:r w:rsidR="009619C0">
        <w:rPr>
          <w:sz w:val="28"/>
          <w:szCs w:val="28"/>
        </w:rPr>
        <w:t>ронення від роботи є втручанням (шляхом</w:t>
      </w:r>
      <w:r w:rsidR="009619C0" w:rsidRPr="009619C0">
        <w:rPr>
          <w:sz w:val="28"/>
          <w:szCs w:val="28"/>
        </w:rPr>
        <w:t xml:space="preserve"> його обмеження) у право людини на працю та право заробляти працею на життя, а  тому  згідно  з  пунктом  1  частини  першої статті</w:t>
      </w:r>
      <w:r w:rsidR="009619C0">
        <w:rPr>
          <w:sz w:val="28"/>
          <w:szCs w:val="28"/>
        </w:rPr>
        <w:t xml:space="preserve"> 92 Конституції </w:t>
      </w:r>
      <w:r w:rsidR="009619C0" w:rsidRPr="009619C0">
        <w:rPr>
          <w:sz w:val="28"/>
          <w:szCs w:val="28"/>
        </w:rPr>
        <w:t xml:space="preserve">України таке втручання дозволено </w:t>
      </w:r>
      <w:r w:rsidR="009619C0">
        <w:rPr>
          <w:sz w:val="28"/>
          <w:szCs w:val="28"/>
        </w:rPr>
        <w:t xml:space="preserve">виключно законами України, а не </w:t>
      </w:r>
      <w:r w:rsidR="009619C0" w:rsidRPr="009619C0">
        <w:rPr>
          <w:sz w:val="28"/>
          <w:szCs w:val="28"/>
        </w:rPr>
        <w:t>підзаконними актами</w:t>
      </w:r>
      <w:r w:rsidR="002A6987" w:rsidRPr="00307F62">
        <w:rPr>
          <w:sz w:val="28"/>
          <w:szCs w:val="28"/>
          <w:lang w:eastAsia="ru-RU"/>
        </w:rPr>
        <w:t>“</w:t>
      </w:r>
      <w:r w:rsidR="002A6987">
        <w:rPr>
          <w:sz w:val="28"/>
          <w:szCs w:val="28"/>
        </w:rPr>
        <w:t>;</w:t>
      </w:r>
      <w:r w:rsidR="009619C0">
        <w:rPr>
          <w:sz w:val="28"/>
          <w:szCs w:val="28"/>
        </w:rPr>
        <w:t xml:space="preserve"> </w:t>
      </w:r>
      <w:r w:rsidR="00437780">
        <w:rPr>
          <w:sz w:val="28"/>
          <w:szCs w:val="28"/>
        </w:rPr>
        <w:t xml:space="preserve">що </w:t>
      </w:r>
      <w:r w:rsidR="00FA463F">
        <w:rPr>
          <w:color w:val="000000"/>
          <w:sz w:val="28"/>
          <w:szCs w:val="28"/>
        </w:rPr>
        <w:t>«</w:t>
      </w:r>
      <w:r w:rsidR="00437780">
        <w:rPr>
          <w:sz w:val="28"/>
          <w:szCs w:val="28"/>
        </w:rPr>
        <w:t>в її</w:t>
      </w:r>
      <w:r w:rsidR="009619C0" w:rsidRPr="009619C0">
        <w:rPr>
          <w:sz w:val="28"/>
          <w:szCs w:val="28"/>
        </w:rPr>
        <w:t xml:space="preserve"> випадку прип</w:t>
      </w:r>
      <w:r w:rsidR="00E46DB4">
        <w:rPr>
          <w:sz w:val="28"/>
          <w:szCs w:val="28"/>
        </w:rPr>
        <w:t>ис частини першої статті 46 Кодексу</w:t>
      </w:r>
      <w:r w:rsidR="009619C0" w:rsidRPr="009619C0">
        <w:rPr>
          <w:sz w:val="28"/>
          <w:szCs w:val="28"/>
        </w:rPr>
        <w:t xml:space="preserve"> в частині здійснення відс</w:t>
      </w:r>
      <w:r w:rsidR="00437780">
        <w:rPr>
          <w:sz w:val="28"/>
          <w:szCs w:val="28"/>
        </w:rPr>
        <w:t>торонення працівника від роботи</w:t>
      </w:r>
      <w:r w:rsidR="00FA463F">
        <w:rPr>
          <w:sz w:val="28"/>
          <w:szCs w:val="28"/>
        </w:rPr>
        <w:t xml:space="preserve"> </w:t>
      </w:r>
      <w:r w:rsidR="00FA463F" w:rsidRPr="00577F00">
        <w:rPr>
          <w:color w:val="000000"/>
          <w:sz w:val="28"/>
          <w:szCs w:val="28"/>
          <w:lang w:eastAsia="ru-RU"/>
        </w:rPr>
        <w:t>„</w:t>
      </w:r>
      <w:r w:rsidR="0057463B">
        <w:rPr>
          <w:color w:val="000000"/>
          <w:sz w:val="28"/>
          <w:szCs w:val="28"/>
        </w:rPr>
        <w:t xml:space="preserve">&lt;…&gt; </w:t>
      </w:r>
      <w:r w:rsidR="0057463B">
        <w:rPr>
          <w:color w:val="000000"/>
          <w:sz w:val="28"/>
          <w:szCs w:val="28"/>
        </w:rPr>
        <w:br/>
      </w:r>
      <w:r w:rsidR="00437780" w:rsidRPr="00212365">
        <w:rPr>
          <w:color w:val="000000"/>
          <w:sz w:val="28"/>
          <w:szCs w:val="28"/>
        </w:rPr>
        <w:t>в інших випадк</w:t>
      </w:r>
      <w:r w:rsidR="0057463B">
        <w:rPr>
          <w:color w:val="000000"/>
          <w:sz w:val="28"/>
          <w:szCs w:val="28"/>
        </w:rPr>
        <w:t>ах, передбачених законодавством</w:t>
      </w:r>
      <w:r w:rsidR="0057463B" w:rsidRPr="00307F62">
        <w:rPr>
          <w:sz w:val="28"/>
          <w:szCs w:val="28"/>
          <w:lang w:eastAsia="ru-RU"/>
        </w:rPr>
        <w:t>“</w:t>
      </w:r>
      <w:r w:rsidR="00437780">
        <w:rPr>
          <w:color w:val="000000"/>
          <w:sz w:val="28"/>
          <w:szCs w:val="28"/>
        </w:rPr>
        <w:t xml:space="preserve"> </w:t>
      </w:r>
      <w:r w:rsidR="009619C0" w:rsidRPr="009619C0">
        <w:rPr>
          <w:sz w:val="28"/>
          <w:szCs w:val="28"/>
        </w:rPr>
        <w:t>було застосовано в такий сп</w:t>
      </w:r>
      <w:r w:rsidR="00437780">
        <w:rPr>
          <w:sz w:val="28"/>
          <w:szCs w:val="28"/>
        </w:rPr>
        <w:t>осіб, що дозволило обмежити її</w:t>
      </w:r>
      <w:r w:rsidR="009619C0" w:rsidRPr="009619C0">
        <w:rPr>
          <w:sz w:val="28"/>
          <w:szCs w:val="28"/>
        </w:rPr>
        <w:t xml:space="preserve"> право на працю, право на достатній життєвий рівень та порушити принцип рівності саме на підставі підзаконних</w:t>
      </w:r>
      <w:r w:rsidR="00437780">
        <w:rPr>
          <w:sz w:val="28"/>
          <w:szCs w:val="28"/>
        </w:rPr>
        <w:t xml:space="preserve"> </w:t>
      </w:r>
      <w:r w:rsidR="00437780" w:rsidRPr="00437780">
        <w:rPr>
          <w:sz w:val="28"/>
          <w:szCs w:val="28"/>
        </w:rPr>
        <w:t>актів Кабінету Міністрів України,</w:t>
      </w:r>
      <w:r w:rsidR="00437780">
        <w:rPr>
          <w:sz w:val="28"/>
          <w:szCs w:val="28"/>
        </w:rPr>
        <w:t xml:space="preserve"> Міністерства охорони здоров’я</w:t>
      </w:r>
      <w:r w:rsidR="0057463B">
        <w:rPr>
          <w:sz w:val="28"/>
          <w:szCs w:val="28"/>
        </w:rPr>
        <w:t xml:space="preserve">». На </w:t>
      </w:r>
      <w:r w:rsidR="00437780">
        <w:rPr>
          <w:sz w:val="28"/>
          <w:szCs w:val="28"/>
        </w:rPr>
        <w:t>думку</w:t>
      </w:r>
      <w:r w:rsidR="0057463B">
        <w:rPr>
          <w:sz w:val="28"/>
          <w:szCs w:val="28"/>
        </w:rPr>
        <w:t xml:space="preserve"> </w:t>
      </w:r>
      <w:r w:rsidR="00784FB8">
        <w:rPr>
          <w:sz w:val="28"/>
          <w:szCs w:val="28"/>
        </w:rPr>
        <w:br/>
      </w:r>
      <w:r w:rsidR="0057463B">
        <w:rPr>
          <w:sz w:val="28"/>
          <w:szCs w:val="28"/>
        </w:rPr>
        <w:t>Берлін О.Ю.</w:t>
      </w:r>
      <w:r w:rsidR="00784FB8">
        <w:rPr>
          <w:sz w:val="28"/>
          <w:szCs w:val="28"/>
        </w:rPr>
        <w:t xml:space="preserve">, </w:t>
      </w:r>
      <w:r w:rsidR="0057463B" w:rsidRPr="00577F00">
        <w:rPr>
          <w:color w:val="000000"/>
          <w:sz w:val="28"/>
          <w:szCs w:val="28"/>
          <w:lang w:eastAsia="ru-RU"/>
        </w:rPr>
        <w:t>„</w:t>
      </w:r>
      <w:r w:rsidR="00437780">
        <w:rPr>
          <w:sz w:val="28"/>
          <w:szCs w:val="28"/>
        </w:rPr>
        <w:t>оспорюваним приписом Кодексу</w:t>
      </w:r>
      <w:r w:rsidR="00437780" w:rsidRPr="00437780">
        <w:rPr>
          <w:sz w:val="28"/>
          <w:szCs w:val="28"/>
        </w:rPr>
        <w:t xml:space="preserve"> заробітна плата, грошове забезпечення працівників, право на працю, право на достатній життєвий рівень та право на рівні </w:t>
      </w:r>
      <w:r w:rsidR="00437780">
        <w:rPr>
          <w:sz w:val="28"/>
          <w:szCs w:val="28"/>
        </w:rPr>
        <w:t>права за ознакою стану здоров’я</w:t>
      </w:r>
      <w:r w:rsidR="00437780" w:rsidRPr="00437780">
        <w:rPr>
          <w:sz w:val="28"/>
          <w:szCs w:val="28"/>
        </w:rPr>
        <w:t xml:space="preserve"> поставлено в невизначену залежність від виконавчої влади, яка має право на прийняття будь-яких підзаконних актів, у тому числі, що стосуються в</w:t>
      </w:r>
      <w:r w:rsidR="00437780">
        <w:rPr>
          <w:sz w:val="28"/>
          <w:szCs w:val="28"/>
        </w:rPr>
        <w:t>ідсторонення за ознакою здоров’я (в її</w:t>
      </w:r>
      <w:r w:rsidR="00437780" w:rsidRPr="00437780">
        <w:rPr>
          <w:sz w:val="28"/>
          <w:szCs w:val="28"/>
        </w:rPr>
        <w:t xml:space="preserve"> випадку наявності щеплення)</w:t>
      </w:r>
      <w:r w:rsidR="00425AB0" w:rsidRPr="00307F62">
        <w:rPr>
          <w:sz w:val="28"/>
          <w:szCs w:val="28"/>
          <w:lang w:eastAsia="ru-RU"/>
        </w:rPr>
        <w:t>“</w:t>
      </w:r>
      <w:r w:rsidR="00437780" w:rsidRPr="00437780">
        <w:rPr>
          <w:sz w:val="28"/>
          <w:szCs w:val="28"/>
        </w:rPr>
        <w:t>.</w:t>
      </w:r>
    </w:p>
    <w:p w:rsidR="00717DDA" w:rsidRPr="00577F00" w:rsidRDefault="00717DDA" w:rsidP="006A63D9">
      <w:pPr>
        <w:spacing w:after="0" w:line="34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7DDA" w:rsidRDefault="00717DDA" w:rsidP="006A63D9">
      <w:pPr>
        <w:spacing w:after="0" w:line="348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7F00">
        <w:rPr>
          <w:rFonts w:ascii="Times New Roman" w:hAnsi="Times New Roman"/>
          <w:color w:val="000000"/>
          <w:sz w:val="28"/>
          <w:szCs w:val="28"/>
        </w:rPr>
        <w:t xml:space="preserve">2. Розв’язуючи питання щодо відкриття конституційного провадження у справі, </w:t>
      </w:r>
      <w:r w:rsidRPr="00577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Перша колегія суддів Першого сенату Конституційного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уду України виходить із такого.</w:t>
      </w:r>
    </w:p>
    <w:p w:rsidR="00717DDA" w:rsidRDefault="00717DDA" w:rsidP="006A63D9">
      <w:pPr>
        <w:spacing w:after="0" w:line="348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7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DA6140">
        <w:rPr>
          <w:rFonts w:ascii="Times New Roman" w:eastAsia="Times New Roman" w:hAnsi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</w:t>
      </w:r>
      <w:r w:rsidRPr="00DA6140">
        <w:rPr>
          <w:rFonts w:ascii="Times New Roman" w:eastAsia="Times New Roman" w:hAnsi="Times New Roman"/>
          <w:sz w:val="28"/>
          <w:szCs w:val="24"/>
          <w:lang w:eastAsia="ru-RU"/>
        </w:rPr>
        <w:t xml:space="preserve">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</w:t>
      </w:r>
      <w:r w:rsidRPr="00DA614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закону (пункт 6 частини другої статті 55); конституційна скарга вважається прийнятною</w:t>
      </w:r>
      <w:r w:rsidRPr="00DA614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за умов її відповідності вимогам,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передбаченим</w:t>
      </w:r>
      <w:r w:rsidRPr="00DA614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зокрема,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DA614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зміст </w:t>
      </w:r>
      <w:r w:rsidRPr="00DA614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і вимоги конституційної скар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ги є очевидно необґрунтованими </w:t>
      </w:r>
      <w:r w:rsidRPr="00DA614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(частина четверта статті 77).</w:t>
      </w:r>
    </w:p>
    <w:p w:rsidR="00717DDA" w:rsidRPr="00080923" w:rsidRDefault="00717DDA" w:rsidP="006A63D9">
      <w:pPr>
        <w:spacing w:after="0" w:line="348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C260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Із конституційної скарги вбачає</w:t>
      </w:r>
      <w:r w:rsidR="005746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ться, що Берлін О.Ю.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08092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висловлює </w:t>
      </w:r>
      <w:r w:rsidRPr="004812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незгоду із </w:t>
      </w:r>
      <w:r w:rsidR="0008092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законодавчим регулюванням щодо обов</w:t>
      </w:r>
      <w:r w:rsidR="00080923" w:rsidRPr="0008092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’язковості профілактичних щеплень працівників окремих професій, виробництв та організацій, діяльність яких  може призвести до зараження цих працівників та (або) поширення ними інфекційних </w:t>
      </w:r>
      <w:proofErr w:type="spellStart"/>
      <w:r w:rsidR="00080923" w:rsidRPr="0008092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хвороб</w:t>
      </w:r>
      <w:proofErr w:type="spellEnd"/>
      <w:r w:rsidR="00080923" w:rsidRPr="0008092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а також з ос</w:t>
      </w:r>
      <w:r w:rsidR="005746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таточним судовим рішенням у її</w:t>
      </w:r>
      <w:r w:rsidR="00080923" w:rsidRPr="0008092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справі</w:t>
      </w:r>
      <w:r w:rsidR="005746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57463B" w:rsidRPr="002F3EA5">
        <w:t>–</w:t>
      </w:r>
      <w:r w:rsidR="005746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постановою Верховного Суду </w:t>
      </w:r>
      <w:r w:rsidR="0057463B" w:rsidRPr="002F3EA5">
        <w:t>–</w:t>
      </w:r>
      <w:r w:rsidR="0057463B">
        <w:t xml:space="preserve"> </w:t>
      </w:r>
      <w:r w:rsidR="005746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 саме з неправильним, на її </w:t>
      </w:r>
      <w:r w:rsidR="00080923" w:rsidRPr="0008092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думку, застосуванням части</w:t>
      </w:r>
      <w:r w:rsidR="00235E7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ни першої статті 46 Кодексу</w:t>
      </w:r>
      <w:r w:rsidR="00080923" w:rsidRPr="0008092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Проте така незгода не може вважатись належним обґрунтуванням </w:t>
      </w:r>
      <w:r w:rsidR="005746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тверджень щодо неконституційності оспорюваного припису</w:t>
      </w:r>
      <w:r w:rsidR="00080923" w:rsidRPr="0008092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08092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Кодексу</w:t>
      </w:r>
      <w:r w:rsidRPr="004812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  </w:t>
      </w:r>
    </w:p>
    <w:p w:rsidR="00717DDA" w:rsidRDefault="00080923" w:rsidP="006A63D9">
      <w:pPr>
        <w:spacing w:after="0" w:line="348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Отже, Берлін О.Ю</w:t>
      </w:r>
      <w:r w:rsidR="00717D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не дотримала</w:t>
      </w:r>
      <w:r w:rsidR="00717DDA" w:rsidRPr="003C260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вимог пункту 6 частини другої </w:t>
      </w:r>
      <w:r w:rsidR="00717D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="00717DDA" w:rsidRPr="003C260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статті 55 Закону</w:t>
      </w:r>
      <w:r w:rsidR="00717D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України </w:t>
      </w:r>
      <w:r w:rsidR="00717DDA" w:rsidRPr="00F90772">
        <w:rPr>
          <w:rFonts w:ascii="Times New Roman" w:hAnsi="Times New Roman"/>
          <w:sz w:val="28"/>
          <w:szCs w:val="28"/>
        </w:rPr>
        <w:t>„</w:t>
      </w:r>
      <w:r w:rsidR="00717D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 Конституційний Суд України</w:t>
      </w:r>
      <w:r w:rsidR="00717DDA" w:rsidRPr="00F90772">
        <w:rPr>
          <w:rFonts w:ascii="Times New Roman" w:hAnsi="Times New Roman"/>
          <w:sz w:val="28"/>
          <w:szCs w:val="28"/>
        </w:rPr>
        <w:t>“</w:t>
      </w:r>
      <w:r w:rsidR="00717DDA" w:rsidRPr="003C260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що є підставою для відмови у відкритті конституційного провадження у справі згідно з </w:t>
      </w:r>
      <w:r w:rsidR="00717D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="00717DDA" w:rsidRPr="003C260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пу</w:t>
      </w:r>
      <w:r w:rsidR="00717D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нктом 4 статті 62 цього закону –</w:t>
      </w:r>
      <w:r w:rsidR="00717DDA" w:rsidRPr="003C260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неприйнятність конституційної скарги.</w:t>
      </w:r>
    </w:p>
    <w:p w:rsidR="00717DDA" w:rsidRDefault="00717DDA" w:rsidP="006A63D9">
      <w:pPr>
        <w:spacing w:after="0" w:line="348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717DDA" w:rsidRPr="001C29D9" w:rsidRDefault="00717DDA" w:rsidP="006A63D9">
      <w:pPr>
        <w:spacing w:after="0" w:line="348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A614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DA6140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DA614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атей 7, 32, 37, </w:t>
      </w:r>
      <w:r w:rsidRPr="00DA614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ту Конституційного Суду України</w:t>
      </w:r>
    </w:p>
    <w:p w:rsidR="00717DDA" w:rsidRDefault="00717DDA" w:rsidP="006A63D9">
      <w:pPr>
        <w:shd w:val="clear" w:color="auto" w:fill="FFFFFF"/>
        <w:spacing w:after="0" w:line="348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17DDA" w:rsidRDefault="00717DDA" w:rsidP="006A63D9">
      <w:pPr>
        <w:shd w:val="clear" w:color="auto" w:fill="FFFFFF"/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х в а л и л а:</w:t>
      </w:r>
    </w:p>
    <w:p w:rsidR="00717DDA" w:rsidRPr="00F90772" w:rsidRDefault="00717DDA" w:rsidP="006A63D9">
      <w:pPr>
        <w:shd w:val="clear" w:color="auto" w:fill="FFFFFF"/>
        <w:spacing w:after="0" w:line="34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DDA" w:rsidRDefault="00717DDA" w:rsidP="006A63D9">
      <w:pPr>
        <w:pStyle w:val="20"/>
        <w:spacing w:after="0" w:line="348" w:lineRule="auto"/>
        <w:ind w:firstLine="567"/>
        <w:jc w:val="both"/>
      </w:pPr>
      <w:r w:rsidRPr="002F3EA5">
        <w:t xml:space="preserve">1. Відмовити у відкритті конституційного провадження у справі </w:t>
      </w:r>
      <w:r w:rsidRPr="002F3EA5">
        <w:br/>
        <w:t xml:space="preserve">за конституційною скаргою </w:t>
      </w:r>
      <w:r w:rsidR="00080923">
        <w:t>Берлін Ольги Юріївни</w:t>
      </w:r>
      <w:r>
        <w:t xml:space="preserve"> </w:t>
      </w:r>
      <w:r w:rsidR="00235E74">
        <w:t xml:space="preserve">щодо відповідності </w:t>
      </w:r>
      <w:r w:rsidR="00235E74">
        <w:lastRenderedPageBreak/>
        <w:t>Конституції</w:t>
      </w:r>
      <w:r w:rsidR="00235E74" w:rsidRPr="00536581">
        <w:t xml:space="preserve"> Укр</w:t>
      </w:r>
      <w:r w:rsidR="00235E74">
        <w:t xml:space="preserve">аїни </w:t>
      </w:r>
      <w:r w:rsidR="00235E74" w:rsidRPr="00536581">
        <w:t>(конституційності) окремого припису частини першої статті</w:t>
      </w:r>
      <w:r w:rsidR="00235E74">
        <w:t xml:space="preserve"> 46 </w:t>
      </w:r>
      <w:r w:rsidRPr="00F12A6E">
        <w:t>Кодексу законів про працю України</w:t>
      </w:r>
      <w:r>
        <w:t xml:space="preserve"> на підставі пункту </w:t>
      </w:r>
      <w:r w:rsidRPr="002F3EA5">
        <w:t>4 статті 62 Закону України „Про Конституційний Суд України“ –</w:t>
      </w:r>
      <w:r>
        <w:rPr>
          <w:lang w:eastAsia="en-US"/>
        </w:rPr>
        <w:t xml:space="preserve"> </w:t>
      </w:r>
      <w:r w:rsidRPr="002F3EA5">
        <w:t>неприйнятність конституційної скарги.</w:t>
      </w:r>
    </w:p>
    <w:p w:rsidR="006A63D9" w:rsidRPr="002F3EA5" w:rsidRDefault="006A63D9" w:rsidP="006A63D9">
      <w:pPr>
        <w:pStyle w:val="20"/>
        <w:spacing w:after="0" w:line="348" w:lineRule="auto"/>
        <w:ind w:firstLine="567"/>
        <w:jc w:val="both"/>
      </w:pPr>
    </w:p>
    <w:p w:rsidR="00717DDA" w:rsidRDefault="006A63D9" w:rsidP="006A63D9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717DDA" w:rsidRPr="002F3EA5">
        <w:rPr>
          <w:sz w:val="28"/>
          <w:szCs w:val="28"/>
          <w:lang w:eastAsia="ru-RU"/>
        </w:rPr>
        <w:t>Ухвала є остаточною</w:t>
      </w:r>
      <w:r w:rsidR="00080923">
        <w:rPr>
          <w:sz w:val="28"/>
          <w:szCs w:val="28"/>
          <w:lang w:eastAsia="ru-RU"/>
        </w:rPr>
        <w:t>.</w:t>
      </w:r>
    </w:p>
    <w:p w:rsidR="00984397" w:rsidRDefault="00984397" w:rsidP="006A63D9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  <w:lang w:eastAsia="ru-RU"/>
        </w:rPr>
      </w:pPr>
    </w:p>
    <w:p w:rsidR="00984397" w:rsidRDefault="00984397" w:rsidP="006A63D9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  <w:lang w:eastAsia="ru-RU"/>
        </w:rPr>
      </w:pPr>
    </w:p>
    <w:p w:rsidR="00984397" w:rsidRDefault="00984397" w:rsidP="006A63D9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984397" w:rsidRPr="00AB60F0" w:rsidRDefault="00984397" w:rsidP="00984397">
      <w:pPr>
        <w:pStyle w:val="af0"/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0F0">
        <w:rPr>
          <w:rFonts w:ascii="Times New Roman" w:hAnsi="Times New Roman" w:cs="Times New Roman"/>
          <w:b/>
          <w:sz w:val="28"/>
          <w:szCs w:val="28"/>
          <w:lang w:val="ru-RU"/>
        </w:rPr>
        <w:t>ПЕРША КОЛЕГІЯ СУДДІВ</w:t>
      </w:r>
    </w:p>
    <w:p w:rsidR="00984397" w:rsidRPr="00AB60F0" w:rsidRDefault="00984397" w:rsidP="00984397">
      <w:pPr>
        <w:pStyle w:val="af0"/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0F0">
        <w:rPr>
          <w:rFonts w:ascii="Times New Roman" w:hAnsi="Times New Roman" w:cs="Times New Roman"/>
          <w:b/>
          <w:sz w:val="28"/>
          <w:szCs w:val="28"/>
          <w:lang w:val="ru-RU"/>
        </w:rPr>
        <w:t>ПЕРШОГО СЕНАТУ</w:t>
      </w:r>
    </w:p>
    <w:p w:rsidR="00984397" w:rsidRPr="00AB60F0" w:rsidRDefault="00984397" w:rsidP="00984397">
      <w:pPr>
        <w:pStyle w:val="af0"/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0F0">
        <w:rPr>
          <w:rFonts w:ascii="Times New Roman" w:hAnsi="Times New Roman" w:cs="Times New Roman"/>
          <w:b/>
          <w:sz w:val="28"/>
          <w:szCs w:val="28"/>
          <w:lang w:val="ru-RU"/>
        </w:rPr>
        <w:t>КОНСТИТУЦІЙНОГО СУДУ УКРАЇНИ</w:t>
      </w:r>
    </w:p>
    <w:p w:rsidR="00984397" w:rsidRPr="00984397" w:rsidRDefault="00984397" w:rsidP="006A63D9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</w:p>
    <w:p w:rsidR="00492ECE" w:rsidRPr="002F3EA5" w:rsidRDefault="00492ECE" w:rsidP="006A63D9">
      <w:pPr>
        <w:spacing w:after="0" w:line="324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3D9" w:rsidRPr="002F3EA5" w:rsidRDefault="006A63D9">
      <w:pPr>
        <w:spacing w:after="0" w:line="324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A63D9" w:rsidRPr="002F3EA5" w:rsidSect="006A63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C3" w:rsidRDefault="00734EC3">
      <w:pPr>
        <w:spacing w:after="0" w:line="240" w:lineRule="auto"/>
      </w:pPr>
      <w:r>
        <w:separator/>
      </w:r>
    </w:p>
  </w:endnote>
  <w:endnote w:type="continuationSeparator" w:id="0">
    <w:p w:rsidR="00734EC3" w:rsidRDefault="0073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D9" w:rsidRPr="006A63D9" w:rsidRDefault="006A63D9">
    <w:pPr>
      <w:pStyle w:val="a5"/>
      <w:rPr>
        <w:rFonts w:ascii="Times New Roman" w:hAnsi="Times New Roman"/>
        <w:sz w:val="10"/>
        <w:szCs w:val="10"/>
      </w:rPr>
    </w:pPr>
    <w:r w:rsidRPr="006A63D9">
      <w:rPr>
        <w:rFonts w:ascii="Times New Roman" w:hAnsi="Times New Roman"/>
        <w:sz w:val="10"/>
        <w:szCs w:val="10"/>
      </w:rPr>
      <w:fldChar w:fldCharType="begin"/>
    </w:r>
    <w:r w:rsidRPr="006A63D9">
      <w:rPr>
        <w:rFonts w:ascii="Times New Roman" w:hAnsi="Times New Roman"/>
        <w:sz w:val="10"/>
        <w:szCs w:val="10"/>
      </w:rPr>
      <w:instrText xml:space="preserve"> FILENAME \p \* MERGEFORMAT </w:instrText>
    </w:r>
    <w:r w:rsidRPr="006A63D9">
      <w:rPr>
        <w:rFonts w:ascii="Times New Roman" w:hAnsi="Times New Roman"/>
        <w:sz w:val="10"/>
        <w:szCs w:val="10"/>
      </w:rPr>
      <w:fldChar w:fldCharType="separate"/>
    </w:r>
    <w:r w:rsidR="00984397">
      <w:rPr>
        <w:rFonts w:ascii="Times New Roman" w:hAnsi="Times New Roman"/>
        <w:noProof/>
        <w:sz w:val="10"/>
        <w:szCs w:val="10"/>
      </w:rPr>
      <w:t>G:\2023\Suddi\I senat\I koleg\29.docx</w:t>
    </w:r>
    <w:r w:rsidRPr="006A63D9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D9" w:rsidRPr="006A63D9" w:rsidRDefault="006A63D9">
    <w:pPr>
      <w:pStyle w:val="a5"/>
      <w:rPr>
        <w:rFonts w:ascii="Times New Roman" w:hAnsi="Times New Roman"/>
        <w:sz w:val="10"/>
        <w:szCs w:val="10"/>
      </w:rPr>
    </w:pPr>
    <w:r w:rsidRPr="006A63D9">
      <w:rPr>
        <w:rFonts w:ascii="Times New Roman" w:hAnsi="Times New Roman"/>
        <w:sz w:val="10"/>
        <w:szCs w:val="10"/>
      </w:rPr>
      <w:fldChar w:fldCharType="begin"/>
    </w:r>
    <w:r w:rsidRPr="006A63D9">
      <w:rPr>
        <w:rFonts w:ascii="Times New Roman" w:hAnsi="Times New Roman"/>
        <w:sz w:val="10"/>
        <w:szCs w:val="10"/>
      </w:rPr>
      <w:instrText xml:space="preserve"> FILENAME \p \* MERGEFORMAT </w:instrText>
    </w:r>
    <w:r w:rsidRPr="006A63D9">
      <w:rPr>
        <w:rFonts w:ascii="Times New Roman" w:hAnsi="Times New Roman"/>
        <w:sz w:val="10"/>
        <w:szCs w:val="10"/>
      </w:rPr>
      <w:fldChar w:fldCharType="separate"/>
    </w:r>
    <w:r w:rsidR="00984397">
      <w:rPr>
        <w:rFonts w:ascii="Times New Roman" w:hAnsi="Times New Roman"/>
        <w:noProof/>
        <w:sz w:val="10"/>
        <w:szCs w:val="10"/>
      </w:rPr>
      <w:t>G:\2023\Suddi\I senat\I koleg\29.docx</w:t>
    </w:r>
    <w:r w:rsidRPr="006A63D9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C3" w:rsidRDefault="00734EC3">
      <w:pPr>
        <w:spacing w:after="0" w:line="240" w:lineRule="auto"/>
      </w:pPr>
      <w:r>
        <w:separator/>
      </w:r>
    </w:p>
  </w:footnote>
  <w:footnote w:type="continuationSeparator" w:id="0">
    <w:p w:rsidR="00734EC3" w:rsidRDefault="0073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345016430"/>
      <w:docPartObj>
        <w:docPartGallery w:val="Page Numbers (Top of Page)"/>
        <w:docPartUnique/>
      </w:docPartObj>
    </w:sdtPr>
    <w:sdtEndPr/>
    <w:sdtContent>
      <w:p w:rsidR="006A63D9" w:rsidRPr="006A63D9" w:rsidRDefault="006A63D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A63D9">
          <w:rPr>
            <w:rFonts w:ascii="Times New Roman" w:hAnsi="Times New Roman"/>
            <w:sz w:val="28"/>
            <w:szCs w:val="28"/>
          </w:rPr>
          <w:fldChar w:fldCharType="begin"/>
        </w:r>
        <w:r w:rsidRPr="006A63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A63D9">
          <w:rPr>
            <w:rFonts w:ascii="Times New Roman" w:hAnsi="Times New Roman"/>
            <w:sz w:val="28"/>
            <w:szCs w:val="28"/>
          </w:rPr>
          <w:fldChar w:fldCharType="separate"/>
        </w:r>
        <w:r w:rsidR="00984397">
          <w:rPr>
            <w:rFonts w:ascii="Times New Roman" w:hAnsi="Times New Roman"/>
            <w:noProof/>
            <w:sz w:val="28"/>
            <w:szCs w:val="28"/>
          </w:rPr>
          <w:t>3</w:t>
        </w:r>
        <w:r w:rsidRPr="006A63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D9" w:rsidRDefault="006A63D9">
    <w:pPr>
      <w:pStyle w:val="a3"/>
      <w:jc w:val="center"/>
    </w:pPr>
  </w:p>
  <w:p w:rsidR="006A63D9" w:rsidRDefault="006A63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B02842"/>
    <w:multiLevelType w:val="hybridMultilevel"/>
    <w:tmpl w:val="FE14127C"/>
    <w:lvl w:ilvl="0" w:tplc="BAAAA1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AEE1FB2"/>
    <w:multiLevelType w:val="hybridMultilevel"/>
    <w:tmpl w:val="F008F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376A9"/>
    <w:rsid w:val="00041897"/>
    <w:rsid w:val="00041CF7"/>
    <w:rsid w:val="0004218E"/>
    <w:rsid w:val="000465CF"/>
    <w:rsid w:val="00057678"/>
    <w:rsid w:val="000660F6"/>
    <w:rsid w:val="0007115B"/>
    <w:rsid w:val="00077D5E"/>
    <w:rsid w:val="00080923"/>
    <w:rsid w:val="00083139"/>
    <w:rsid w:val="0008779E"/>
    <w:rsid w:val="000A4296"/>
    <w:rsid w:val="000B654F"/>
    <w:rsid w:val="000C0DE0"/>
    <w:rsid w:val="000E604E"/>
    <w:rsid w:val="000F6626"/>
    <w:rsid w:val="000F6FE4"/>
    <w:rsid w:val="001026DD"/>
    <w:rsid w:val="00114718"/>
    <w:rsid w:val="00124971"/>
    <w:rsid w:val="00126177"/>
    <w:rsid w:val="0012700D"/>
    <w:rsid w:val="00141DF8"/>
    <w:rsid w:val="00157F6B"/>
    <w:rsid w:val="001726B8"/>
    <w:rsid w:val="00186166"/>
    <w:rsid w:val="00196794"/>
    <w:rsid w:val="00196A62"/>
    <w:rsid w:val="001A125C"/>
    <w:rsid w:val="001A70FC"/>
    <w:rsid w:val="001B129E"/>
    <w:rsid w:val="001B2EE7"/>
    <w:rsid w:val="001C052D"/>
    <w:rsid w:val="001C29D9"/>
    <w:rsid w:val="001C6573"/>
    <w:rsid w:val="001D4EF5"/>
    <w:rsid w:val="001E0ADA"/>
    <w:rsid w:val="001E7ABE"/>
    <w:rsid w:val="001E7EB3"/>
    <w:rsid w:val="001F0143"/>
    <w:rsid w:val="00204563"/>
    <w:rsid w:val="002049CD"/>
    <w:rsid w:val="00204D3C"/>
    <w:rsid w:val="00210777"/>
    <w:rsid w:val="00212365"/>
    <w:rsid w:val="00214190"/>
    <w:rsid w:val="00222D39"/>
    <w:rsid w:val="00222FF8"/>
    <w:rsid w:val="002265F7"/>
    <w:rsid w:val="00233019"/>
    <w:rsid w:val="00235E74"/>
    <w:rsid w:val="00237845"/>
    <w:rsid w:val="00245695"/>
    <w:rsid w:val="00251388"/>
    <w:rsid w:val="00253AC4"/>
    <w:rsid w:val="00253B67"/>
    <w:rsid w:val="0025721A"/>
    <w:rsid w:val="00265793"/>
    <w:rsid w:val="00273EC1"/>
    <w:rsid w:val="00281AD5"/>
    <w:rsid w:val="00290FD7"/>
    <w:rsid w:val="00291B01"/>
    <w:rsid w:val="00297945"/>
    <w:rsid w:val="002A1A10"/>
    <w:rsid w:val="002A6987"/>
    <w:rsid w:val="002B59DD"/>
    <w:rsid w:val="002C0A0F"/>
    <w:rsid w:val="002C46EA"/>
    <w:rsid w:val="002D7113"/>
    <w:rsid w:val="002E1655"/>
    <w:rsid w:val="002F003F"/>
    <w:rsid w:val="002F3EA5"/>
    <w:rsid w:val="00307F62"/>
    <w:rsid w:val="00313E5C"/>
    <w:rsid w:val="00317CD4"/>
    <w:rsid w:val="003274AD"/>
    <w:rsid w:val="00343864"/>
    <w:rsid w:val="00343F58"/>
    <w:rsid w:val="003567FC"/>
    <w:rsid w:val="00360B0C"/>
    <w:rsid w:val="0037733A"/>
    <w:rsid w:val="003A1A95"/>
    <w:rsid w:val="003B2261"/>
    <w:rsid w:val="003B3997"/>
    <w:rsid w:val="003C1D96"/>
    <w:rsid w:val="003C260E"/>
    <w:rsid w:val="003D4CD5"/>
    <w:rsid w:val="003E5978"/>
    <w:rsid w:val="003F56B8"/>
    <w:rsid w:val="00400A28"/>
    <w:rsid w:val="004017C7"/>
    <w:rsid w:val="00403373"/>
    <w:rsid w:val="00404C65"/>
    <w:rsid w:val="00407D54"/>
    <w:rsid w:val="004157F6"/>
    <w:rsid w:val="004211E0"/>
    <w:rsid w:val="00425AB0"/>
    <w:rsid w:val="00433687"/>
    <w:rsid w:val="004343EE"/>
    <w:rsid w:val="00437780"/>
    <w:rsid w:val="004409D9"/>
    <w:rsid w:val="00442768"/>
    <w:rsid w:val="00446DF0"/>
    <w:rsid w:val="00453D38"/>
    <w:rsid w:val="00453D5B"/>
    <w:rsid w:val="00460CA7"/>
    <w:rsid w:val="00461501"/>
    <w:rsid w:val="004640E0"/>
    <w:rsid w:val="004662CD"/>
    <w:rsid w:val="00466BD6"/>
    <w:rsid w:val="0047154C"/>
    <w:rsid w:val="00476CFB"/>
    <w:rsid w:val="00477F01"/>
    <w:rsid w:val="00481241"/>
    <w:rsid w:val="00486BB3"/>
    <w:rsid w:val="00491DE6"/>
    <w:rsid w:val="00492ECE"/>
    <w:rsid w:val="0049757F"/>
    <w:rsid w:val="004A6664"/>
    <w:rsid w:val="004B7FAD"/>
    <w:rsid w:val="004C4BAC"/>
    <w:rsid w:val="004D4120"/>
    <w:rsid w:val="004E4D14"/>
    <w:rsid w:val="004E5015"/>
    <w:rsid w:val="004E7C68"/>
    <w:rsid w:val="004F20D5"/>
    <w:rsid w:val="0050287D"/>
    <w:rsid w:val="00504209"/>
    <w:rsid w:val="00507D1C"/>
    <w:rsid w:val="00513F20"/>
    <w:rsid w:val="0051504B"/>
    <w:rsid w:val="0051545D"/>
    <w:rsid w:val="005219F6"/>
    <w:rsid w:val="0053017D"/>
    <w:rsid w:val="005304FE"/>
    <w:rsid w:val="00532911"/>
    <w:rsid w:val="00535C7B"/>
    <w:rsid w:val="00536581"/>
    <w:rsid w:val="005423BC"/>
    <w:rsid w:val="00544E29"/>
    <w:rsid w:val="00545212"/>
    <w:rsid w:val="00545280"/>
    <w:rsid w:val="005467DE"/>
    <w:rsid w:val="005648D0"/>
    <w:rsid w:val="00566F73"/>
    <w:rsid w:val="0057008D"/>
    <w:rsid w:val="0057463B"/>
    <w:rsid w:val="00575615"/>
    <w:rsid w:val="0057561F"/>
    <w:rsid w:val="005766C7"/>
    <w:rsid w:val="00577F00"/>
    <w:rsid w:val="0058295F"/>
    <w:rsid w:val="00591C5C"/>
    <w:rsid w:val="00594BE7"/>
    <w:rsid w:val="00597097"/>
    <w:rsid w:val="00597441"/>
    <w:rsid w:val="005A5D2B"/>
    <w:rsid w:val="005A746E"/>
    <w:rsid w:val="005B138B"/>
    <w:rsid w:val="005D5DAB"/>
    <w:rsid w:val="005D6B27"/>
    <w:rsid w:val="005E0E2B"/>
    <w:rsid w:val="005E7EA3"/>
    <w:rsid w:val="005F0C81"/>
    <w:rsid w:val="005F5480"/>
    <w:rsid w:val="006004D0"/>
    <w:rsid w:val="006174C1"/>
    <w:rsid w:val="00630D11"/>
    <w:rsid w:val="00631697"/>
    <w:rsid w:val="006337A7"/>
    <w:rsid w:val="00634517"/>
    <w:rsid w:val="00641860"/>
    <w:rsid w:val="00643EDE"/>
    <w:rsid w:val="0065289D"/>
    <w:rsid w:val="00656225"/>
    <w:rsid w:val="0065786E"/>
    <w:rsid w:val="006679A9"/>
    <w:rsid w:val="006730C3"/>
    <w:rsid w:val="006811EF"/>
    <w:rsid w:val="00684A31"/>
    <w:rsid w:val="00687577"/>
    <w:rsid w:val="00693744"/>
    <w:rsid w:val="006A0DFA"/>
    <w:rsid w:val="006A3B68"/>
    <w:rsid w:val="006A63D9"/>
    <w:rsid w:val="006A7262"/>
    <w:rsid w:val="006B7244"/>
    <w:rsid w:val="006D2086"/>
    <w:rsid w:val="006D37CA"/>
    <w:rsid w:val="006D3D7C"/>
    <w:rsid w:val="006D3E70"/>
    <w:rsid w:val="006E176B"/>
    <w:rsid w:val="006E7719"/>
    <w:rsid w:val="006F3625"/>
    <w:rsid w:val="006F794D"/>
    <w:rsid w:val="0070038E"/>
    <w:rsid w:val="00700EF0"/>
    <w:rsid w:val="0071267D"/>
    <w:rsid w:val="0071540B"/>
    <w:rsid w:val="0071623B"/>
    <w:rsid w:val="0071709D"/>
    <w:rsid w:val="00717DDA"/>
    <w:rsid w:val="00721084"/>
    <w:rsid w:val="00726AE3"/>
    <w:rsid w:val="00730B59"/>
    <w:rsid w:val="0073434E"/>
    <w:rsid w:val="00734EC3"/>
    <w:rsid w:val="00754E6B"/>
    <w:rsid w:val="0076116B"/>
    <w:rsid w:val="00763494"/>
    <w:rsid w:val="00765226"/>
    <w:rsid w:val="007675F8"/>
    <w:rsid w:val="00771BD2"/>
    <w:rsid w:val="0078434D"/>
    <w:rsid w:val="00784FB8"/>
    <w:rsid w:val="0079257A"/>
    <w:rsid w:val="00795797"/>
    <w:rsid w:val="007B0000"/>
    <w:rsid w:val="007B0EAA"/>
    <w:rsid w:val="007B6B9C"/>
    <w:rsid w:val="007C19BE"/>
    <w:rsid w:val="007C580E"/>
    <w:rsid w:val="007D0152"/>
    <w:rsid w:val="007D2169"/>
    <w:rsid w:val="007D4FE2"/>
    <w:rsid w:val="007D54B4"/>
    <w:rsid w:val="007E0FB2"/>
    <w:rsid w:val="007E350B"/>
    <w:rsid w:val="007E5D50"/>
    <w:rsid w:val="007F7A0B"/>
    <w:rsid w:val="008004E6"/>
    <w:rsid w:val="00832C05"/>
    <w:rsid w:val="00835650"/>
    <w:rsid w:val="008661CC"/>
    <w:rsid w:val="00873A0F"/>
    <w:rsid w:val="008766BB"/>
    <w:rsid w:val="008829D6"/>
    <w:rsid w:val="0088348C"/>
    <w:rsid w:val="008847F9"/>
    <w:rsid w:val="008855D4"/>
    <w:rsid w:val="0089333B"/>
    <w:rsid w:val="00895B1A"/>
    <w:rsid w:val="00895D8D"/>
    <w:rsid w:val="008964D6"/>
    <w:rsid w:val="008966CA"/>
    <w:rsid w:val="008A1B94"/>
    <w:rsid w:val="008B4032"/>
    <w:rsid w:val="008C76C2"/>
    <w:rsid w:val="008D6098"/>
    <w:rsid w:val="008D7449"/>
    <w:rsid w:val="008F6123"/>
    <w:rsid w:val="00900DFF"/>
    <w:rsid w:val="00922A50"/>
    <w:rsid w:val="00924355"/>
    <w:rsid w:val="00931E5B"/>
    <w:rsid w:val="00934814"/>
    <w:rsid w:val="00936C54"/>
    <w:rsid w:val="00937D05"/>
    <w:rsid w:val="00944D3F"/>
    <w:rsid w:val="009619C0"/>
    <w:rsid w:val="00970416"/>
    <w:rsid w:val="00984397"/>
    <w:rsid w:val="009864A2"/>
    <w:rsid w:val="00986842"/>
    <w:rsid w:val="009909DE"/>
    <w:rsid w:val="009A61E5"/>
    <w:rsid w:val="009B24D5"/>
    <w:rsid w:val="009B26F8"/>
    <w:rsid w:val="009C2917"/>
    <w:rsid w:val="009C3FF5"/>
    <w:rsid w:val="009C4FAD"/>
    <w:rsid w:val="009D1E8F"/>
    <w:rsid w:val="009D362C"/>
    <w:rsid w:val="009E371F"/>
    <w:rsid w:val="009E626C"/>
    <w:rsid w:val="009F2697"/>
    <w:rsid w:val="009F31C9"/>
    <w:rsid w:val="009F33CA"/>
    <w:rsid w:val="00A0174C"/>
    <w:rsid w:val="00A022E2"/>
    <w:rsid w:val="00A07880"/>
    <w:rsid w:val="00A10CDD"/>
    <w:rsid w:val="00A14DCE"/>
    <w:rsid w:val="00A1703F"/>
    <w:rsid w:val="00A170FB"/>
    <w:rsid w:val="00A20C01"/>
    <w:rsid w:val="00A25887"/>
    <w:rsid w:val="00A37DC8"/>
    <w:rsid w:val="00A42199"/>
    <w:rsid w:val="00A45A2A"/>
    <w:rsid w:val="00A50B3D"/>
    <w:rsid w:val="00A67404"/>
    <w:rsid w:val="00A72FB9"/>
    <w:rsid w:val="00A740A0"/>
    <w:rsid w:val="00A76C98"/>
    <w:rsid w:val="00A77B0E"/>
    <w:rsid w:val="00A83F2D"/>
    <w:rsid w:val="00A9133A"/>
    <w:rsid w:val="00A94804"/>
    <w:rsid w:val="00A94858"/>
    <w:rsid w:val="00AA0314"/>
    <w:rsid w:val="00AA0BA1"/>
    <w:rsid w:val="00AA3051"/>
    <w:rsid w:val="00AA4B67"/>
    <w:rsid w:val="00AF0432"/>
    <w:rsid w:val="00AF0BAB"/>
    <w:rsid w:val="00B0626B"/>
    <w:rsid w:val="00B126DF"/>
    <w:rsid w:val="00B137FE"/>
    <w:rsid w:val="00B164B0"/>
    <w:rsid w:val="00B1749B"/>
    <w:rsid w:val="00B20605"/>
    <w:rsid w:val="00B213BF"/>
    <w:rsid w:val="00B26009"/>
    <w:rsid w:val="00B27550"/>
    <w:rsid w:val="00B34C4B"/>
    <w:rsid w:val="00B352BA"/>
    <w:rsid w:val="00B442CF"/>
    <w:rsid w:val="00B450D6"/>
    <w:rsid w:val="00B5777C"/>
    <w:rsid w:val="00B57B34"/>
    <w:rsid w:val="00B616A9"/>
    <w:rsid w:val="00B66C13"/>
    <w:rsid w:val="00B77454"/>
    <w:rsid w:val="00B902FD"/>
    <w:rsid w:val="00B927B2"/>
    <w:rsid w:val="00B952A0"/>
    <w:rsid w:val="00BA57C5"/>
    <w:rsid w:val="00BB1822"/>
    <w:rsid w:val="00BB1F70"/>
    <w:rsid w:val="00BB39A6"/>
    <w:rsid w:val="00BB429A"/>
    <w:rsid w:val="00BB435A"/>
    <w:rsid w:val="00BC18DB"/>
    <w:rsid w:val="00BC20D4"/>
    <w:rsid w:val="00BC7618"/>
    <w:rsid w:val="00BE5DB9"/>
    <w:rsid w:val="00BF1F92"/>
    <w:rsid w:val="00C02850"/>
    <w:rsid w:val="00C149B8"/>
    <w:rsid w:val="00C20F75"/>
    <w:rsid w:val="00C36440"/>
    <w:rsid w:val="00C40FCD"/>
    <w:rsid w:val="00C428DF"/>
    <w:rsid w:val="00C442FD"/>
    <w:rsid w:val="00C50806"/>
    <w:rsid w:val="00C70723"/>
    <w:rsid w:val="00C72D0A"/>
    <w:rsid w:val="00C748F0"/>
    <w:rsid w:val="00C833B4"/>
    <w:rsid w:val="00C8792E"/>
    <w:rsid w:val="00C9464A"/>
    <w:rsid w:val="00CB2088"/>
    <w:rsid w:val="00CB31AD"/>
    <w:rsid w:val="00CD3CAC"/>
    <w:rsid w:val="00CD6D67"/>
    <w:rsid w:val="00CE2830"/>
    <w:rsid w:val="00CE2AEB"/>
    <w:rsid w:val="00CE5752"/>
    <w:rsid w:val="00D03BBD"/>
    <w:rsid w:val="00D1185A"/>
    <w:rsid w:val="00D20BC8"/>
    <w:rsid w:val="00D25214"/>
    <w:rsid w:val="00D32B57"/>
    <w:rsid w:val="00D35820"/>
    <w:rsid w:val="00D424E3"/>
    <w:rsid w:val="00D44533"/>
    <w:rsid w:val="00D44BF9"/>
    <w:rsid w:val="00D5047A"/>
    <w:rsid w:val="00D558D2"/>
    <w:rsid w:val="00D61A39"/>
    <w:rsid w:val="00D834BF"/>
    <w:rsid w:val="00D8773E"/>
    <w:rsid w:val="00D9607B"/>
    <w:rsid w:val="00D96D9E"/>
    <w:rsid w:val="00DA21E9"/>
    <w:rsid w:val="00DA6140"/>
    <w:rsid w:val="00DC1671"/>
    <w:rsid w:val="00DE44BD"/>
    <w:rsid w:val="00DE4E33"/>
    <w:rsid w:val="00E051E8"/>
    <w:rsid w:val="00E101A4"/>
    <w:rsid w:val="00E162E4"/>
    <w:rsid w:val="00E239A4"/>
    <w:rsid w:val="00E265D0"/>
    <w:rsid w:val="00E3242A"/>
    <w:rsid w:val="00E330BE"/>
    <w:rsid w:val="00E33A27"/>
    <w:rsid w:val="00E41FC9"/>
    <w:rsid w:val="00E46245"/>
    <w:rsid w:val="00E46DB4"/>
    <w:rsid w:val="00E777F3"/>
    <w:rsid w:val="00E80EEA"/>
    <w:rsid w:val="00E81EB4"/>
    <w:rsid w:val="00E855AD"/>
    <w:rsid w:val="00E87719"/>
    <w:rsid w:val="00E91855"/>
    <w:rsid w:val="00E944AD"/>
    <w:rsid w:val="00E948BD"/>
    <w:rsid w:val="00EA1DF6"/>
    <w:rsid w:val="00EB458D"/>
    <w:rsid w:val="00EB66B9"/>
    <w:rsid w:val="00EE4155"/>
    <w:rsid w:val="00EE6D9E"/>
    <w:rsid w:val="00EF57DA"/>
    <w:rsid w:val="00EF5A3B"/>
    <w:rsid w:val="00EF60EE"/>
    <w:rsid w:val="00F05C12"/>
    <w:rsid w:val="00F060BB"/>
    <w:rsid w:val="00F117C9"/>
    <w:rsid w:val="00F12A6E"/>
    <w:rsid w:val="00F15A60"/>
    <w:rsid w:val="00F2352F"/>
    <w:rsid w:val="00F236C1"/>
    <w:rsid w:val="00F26417"/>
    <w:rsid w:val="00F270C0"/>
    <w:rsid w:val="00F3400C"/>
    <w:rsid w:val="00F61DEF"/>
    <w:rsid w:val="00F67DF6"/>
    <w:rsid w:val="00F7180E"/>
    <w:rsid w:val="00F805CD"/>
    <w:rsid w:val="00F809AE"/>
    <w:rsid w:val="00FA1320"/>
    <w:rsid w:val="00FA463F"/>
    <w:rsid w:val="00FA5F76"/>
    <w:rsid w:val="00FA7421"/>
    <w:rsid w:val="00FB4784"/>
    <w:rsid w:val="00FC04AD"/>
    <w:rsid w:val="00FC1E3E"/>
    <w:rsid w:val="00FC47F5"/>
    <w:rsid w:val="00FC6590"/>
    <w:rsid w:val="00FD25FC"/>
    <w:rsid w:val="00FD51B8"/>
    <w:rsid w:val="00FE4F45"/>
    <w:rsid w:val="00FE5455"/>
    <w:rsid w:val="00FF0266"/>
    <w:rsid w:val="00FF1868"/>
    <w:rsid w:val="00FF56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77E49"/>
  <w15:chartTrackingRefBased/>
  <w15:docId w15:val="{C420B20F-0D77-4EA2-A4C9-D0657807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09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rvts46">
    <w:name w:val="rvts46"/>
    <w:rsid w:val="00B5777C"/>
  </w:style>
  <w:style w:type="character" w:customStyle="1" w:styleId="rvts37">
    <w:name w:val="rvts37"/>
    <w:rsid w:val="002F003F"/>
  </w:style>
  <w:style w:type="paragraph" w:customStyle="1" w:styleId="ac">
    <w:name w:val="?вичайний (веб)"/>
    <w:basedOn w:val="a"/>
    <w:uiPriority w:val="99"/>
    <w:rsid w:val="0078434D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619C0"/>
    <w:pPr>
      <w:spacing w:after="120"/>
    </w:pPr>
  </w:style>
  <w:style w:type="character" w:customStyle="1" w:styleId="ae">
    <w:name w:val="Основний текст Знак"/>
    <w:link w:val="ad"/>
    <w:uiPriority w:val="99"/>
    <w:semiHidden/>
    <w:rsid w:val="009619C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8092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f">
    <w:name w:val="Placeholder Text"/>
    <w:basedOn w:val="a0"/>
    <w:uiPriority w:val="99"/>
    <w:semiHidden/>
    <w:rsid w:val="006A63D9"/>
    <w:rPr>
      <w:color w:val="808080"/>
    </w:rPr>
  </w:style>
  <w:style w:type="paragraph" w:styleId="af0">
    <w:name w:val="List Paragraph"/>
    <w:basedOn w:val="a"/>
    <w:qFormat/>
    <w:rsid w:val="00984397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66DB-689A-4EAC-8307-7ED9ACB6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3402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Валентина М. Поліщук</cp:lastModifiedBy>
  <cp:revision>5</cp:revision>
  <cp:lastPrinted>2023-07-27T07:05:00Z</cp:lastPrinted>
  <dcterms:created xsi:type="dcterms:W3CDTF">2023-07-26T09:09:00Z</dcterms:created>
  <dcterms:modified xsi:type="dcterms:W3CDTF">2023-07-27T07:07:00Z</dcterms:modified>
</cp:coreProperties>
</file>