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CE" w:rsidRDefault="008764CE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764CE" w:rsidRDefault="008764CE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764CE" w:rsidRDefault="008764CE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764CE" w:rsidRDefault="008764CE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764CE" w:rsidRDefault="008764CE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764CE" w:rsidRDefault="008764CE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764CE" w:rsidRDefault="008764CE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A1E42" w:rsidRPr="008764CE" w:rsidRDefault="003A1E42" w:rsidP="008764C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про відмову у відкритті конституційного провадження у справі</w:t>
      </w:r>
      <w:r w:rsidR="008764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</w:t>
      </w:r>
      <w:r w:rsidR="008764C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Pr="008764C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скаргою Воловенка Геннадія Миколайовича щодо відповідності Конституції України (конституційності) окремих приписів частини п’ятої статті 13 Закону України „Про житлово-комунальні </w:t>
      </w:r>
      <w:r w:rsidR="008764C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</w:r>
      <w:r w:rsidR="008764C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Pr="008764C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послуги“ </w:t>
      </w:r>
    </w:p>
    <w:p w:rsidR="003A1E42" w:rsidRPr="008764CE" w:rsidRDefault="003A1E42" w:rsidP="0087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и ї в 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uk-UA"/>
        </w:rPr>
        <w:t>Справа № 3-153/2025(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3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uk-UA"/>
        </w:rPr>
        <w:t>02/25)</w:t>
      </w:r>
    </w:p>
    <w:p w:rsidR="003A1E42" w:rsidRPr="008764CE" w:rsidRDefault="009A7829" w:rsidP="0087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9 </w:t>
      </w:r>
      <w:r w:rsidR="003A1E42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вересня 2025 року</w:t>
      </w:r>
    </w:p>
    <w:p w:rsidR="003A1E42" w:rsidRPr="008764CE" w:rsidRDefault="003A1E42" w:rsidP="00876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№ </w:t>
      </w:r>
      <w:r w:rsidR="009A7829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126-3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(І)/2025</w:t>
      </w:r>
    </w:p>
    <w:p w:rsidR="008764CE" w:rsidRPr="008764CE" w:rsidRDefault="008764CE" w:rsidP="0087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Третя колегія суддів Першого сенату Конституційного Суду України у складі:</w:t>
      </w:r>
    </w:p>
    <w:p w:rsidR="003A1E42" w:rsidRPr="008764CE" w:rsidRDefault="003A1E42" w:rsidP="00876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Петришина</w:t>
      </w:r>
      <w:proofErr w:type="spellEnd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Олександра Віталійовича – головуючого,</w:t>
      </w:r>
    </w:p>
    <w:p w:rsidR="003A1E42" w:rsidRPr="008764CE" w:rsidRDefault="003A1E42" w:rsidP="00876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Кичуна</w:t>
      </w:r>
      <w:proofErr w:type="spellEnd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Віктора Івановича,</w:t>
      </w:r>
    </w:p>
    <w:p w:rsidR="003A1E42" w:rsidRPr="008764CE" w:rsidRDefault="003A1E42" w:rsidP="00876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Олійник Алли Сергіївни – доповідача,</w:t>
      </w:r>
    </w:p>
    <w:p w:rsidR="003A1E42" w:rsidRPr="008764CE" w:rsidRDefault="003A1E42" w:rsidP="00876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розглянула на засіданні питання про відкриття конституційного провадження у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справі за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конституційною скаргою Воловенка Геннадія Миколайовича щодо відповідності Конституції України (конституційності) окремих приписів частини 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п’ятої статті 13 Закону України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„Про житлово-комунальні послуги“ від</w:t>
      </w:r>
      <w:r w:rsidR="00D72B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 листопада 2017 року № 2189–VІII (Відомості Верховної  Ради України, 2018 р., № 1, ст. 1)</w:t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зі змінами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Заслухавши суддю-доповідача Олійник А.С. та дослідивши матеріали справи, Третя колегія суддів Першого сенату Конституційного Суду України</w:t>
      </w:r>
    </w:p>
    <w:p w:rsidR="003A1E42" w:rsidRPr="008764CE" w:rsidRDefault="003A1E42" w:rsidP="008764CE">
      <w:pPr>
        <w:spacing w:after="0" w:line="372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keepNext/>
        <w:spacing w:after="0" w:line="372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у с т а н о в и л а: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До Конституційного Суду України звернувся Воловенко Г.М.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із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клопотанням перевірити на відповідність статтям 8, 42, 60 Конституції України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(конституційність) </w:t>
      </w:r>
      <w:r w:rsidR="008468F6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окремі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припис</w:t>
      </w:r>
      <w:r w:rsidR="008468F6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частини п’ятої (за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конституційною скаргою </w:t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пункт 5) статті 13 Закону України „Про 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житлово-комунальні послуги“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 9 листопада 2017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 № 2189–VІII</w:t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зі змінами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(далі – Закон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Відповідно до 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частини п’ятої статті 13 Закону </w:t>
      </w:r>
      <w:r w:rsidR="0053260D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„у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разі якщо співвласники багатоквартирного будинку не прийняли рішення про вибір моделі договірних відносин та не уклали з виконавцем комунальної послуги відповідний договір (крім послуг з постачання та розподілу природного газу і послуг з постачання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 розподілу електричної енергії), з ними укладається індивідуальний договір про надання комунальної послуги, що є публічним договором приєднання“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(абзац перший); </w:t>
      </w:r>
      <w:bookmarkStart w:id="0" w:name="n617"/>
      <w:bookmarkEnd w:id="0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„такі договори вважаються укладеними, якщо протягом 30 днів з дня опублікування тексту договору на офіційному веб-сайті органу місцевого самоврядування та/або на веб-сайті виконавця послуги співвласники багатоквартирного будинку не прийняли рішення про вибір моделі договірних відносин та не уклали відповідний договір з виконавцем комунальної послуги. При цьому розміщується повідомлення про місце опублікування тексту договору у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загальнодоступних місцях на інформаційних стендах та/або рахунках на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оплату послуг“</w:t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(абзац другий)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1" w:name="n618"/>
      <w:bookmarkEnd w:id="1"/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Зі змісту конституційної скарги та долучених до неї матеріалів убачається таке.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вересні 2022 року Воловенко Г.М. звернувся до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Червоноградського міського суду Львівської області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 позовом до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Комунального підприємства „</w:t>
      </w:r>
      <w:proofErr w:type="spellStart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Червоноградтеплокомуненерго</w:t>
      </w:r>
      <w:proofErr w:type="spellEnd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 (дал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 – Підприємство), третя особа,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яка не заявляє самостійних вимог щодо предмета спору, –</w:t>
      </w:r>
      <w:r w:rsidR="00AF1DD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Державна служба України з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F1DD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питань безпечності харчових продуктів та захисту споживачів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 якому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просив визнати односторонній договір – Типовий індивідуальний договір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 надання послуги з постачання теплової енергії від 1 жовтня 2021 року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редакції Підприємства </w:t>
      </w:r>
      <w:r w:rsidR="00D72B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недійсним.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Червоноградський міський 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суд Львівської області рішенням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26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листопада 2022 року, залишен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им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без змін постановою Львівського апеляційного суду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від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 грудня 2024 року, 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позові відмовив.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Суди першої та апеляційної інстанцій, відмовляючи </w:t>
      </w:r>
      <w:r w:rsidR="0024363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Воловенку Г.М. у його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позові, керувалися тим, що публічні договори приєднання про надання комунальних послуг</w:t>
      </w:r>
      <w:r w:rsidR="008468F6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власниками індивідуальних (садибних) житлових будинків вважаються укладеними, якщо протягом 30 днів з дня опублікування тексту договору на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офіційному </w:t>
      </w:r>
      <w:proofErr w:type="spellStart"/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веб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сайті</w:t>
      </w:r>
      <w:proofErr w:type="spellEnd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органу місцево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го самоврядування та/або на </w:t>
      </w:r>
      <w:proofErr w:type="spellStart"/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веб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сайті</w:t>
      </w:r>
      <w:proofErr w:type="spellEnd"/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виконавця послуги такий власник не вчинив дій щодо відключення (відмови) від комунальної послуги. Крім того, суди першої та апеляційної інстанцій констатували, що Воловенко Г.М</w:t>
      </w:r>
      <w:r w:rsidR="008468F6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на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вів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доказів щодо ненадання послуг з теплопостачання та гарячого водопостачання чи надання їх неналежної якості. 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Верховний Суд у складі</w:t>
      </w:r>
      <w:r w:rsidR="00AF1DD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колегії суддів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Касаційного цивільного суду ухвалою від 3 лютого 2025 року відмовив у відкритті касаційного провадження за касаційною скаргою  Воловенка Г.М. з огляду на те, що касаційну скаргу подано на судове рішення у малозначній справі.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Суб’єкт права на конституційну скаргу, стверджуючи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 неконституційні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сть оспорюван</w:t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их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припис</w:t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ів 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Закону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зазначає, що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визначення ,,публічний договір приєднання“, порушує „умови свободи вибору договірних відносин, нав’язуючи примусові договірні відносини, які автоматично на умовах підприємства монополіста, в порушення вимог чинного законодавства України, набувають законності з плином певного часу, які за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звичайних умов інша сторона не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прийняла-б, не має наміру приймати“.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думку Воловенка Г.М., оспорювані приписи</w:t>
      </w:r>
      <w:r w:rsidR="00AF1DD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Закону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відповідають частині другій статті 22, другому реченню частини третьої статті 42,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частині першій статті 60 Конституції України.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Суб’єкт права на конституційну скаргу посилається на окремі приписи Конституції України, Цивільний кодекс України, Цивільний процесуальний код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екс України, Закон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Закон України „Про захист прав споживачів“, Конвенцію про захист прав людини і основоположних свобод 1950 року, а також на судові рішення, ухвалені в його справі. 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Вирішуючи питання щодо відкриття конституційного провадження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у справі, Третя колегія суддів Першого сенату Конституційного Суду України керується таким.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визначеним статтями 55, 56 цього закону,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 якщо з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дня набрання законної сили остаточним судовим рішенням, у якому застосовано закон України (його окремі приписи), сплинуло не більше трьох місяців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(абзац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перший, пункт 2 частини першої статті 77); якщо суб’єкт права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конституційну скаргу пропустив строк подання конституційної скарги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зв’язку з тим, що не мав повного тексту судового ріш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ення, він має право висловити у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конституційній скарзі клопотання про поновлення пропущеного строку (частина третя статті 77).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4.1. </w:t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Із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долучених до конституційної скарги матеріалів убачається,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що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Верховний Суд у складі</w:t>
      </w:r>
      <w:r w:rsidR="00AF1DD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колегії суддів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Касаційного цивільного суду ухвалою від 3 лютого 2025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року відмовив у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відкритті касаційного провадження. Отже, суб’єкт</w:t>
      </w:r>
      <w:r w:rsidR="00AF1DDE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права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конституційну скаргу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мав реалізувати право на звернення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Конституційного Суду України з конституційною скаргою до 4 травня 2025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року.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Воловенко Г.М. </w:t>
      </w:r>
      <w:r w:rsidR="001D2CE0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перше звернувся до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Конституційного Суду України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з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конституційною скаргою 12 липня 2025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року (</w:t>
      </w:r>
      <w:proofErr w:type="spellStart"/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вх</w:t>
      </w:r>
      <w:proofErr w:type="spellEnd"/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№ 18/264), яку Секретаріат Конституційного Суду України повернув листом від 23 липня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 року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вих</w:t>
      </w:r>
      <w:proofErr w:type="spellEnd"/>
      <w:r w:rsidR="001D2CE0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№ 004-018-18/2070)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як таку, що не відповідала пункту 5, абзацу десятому частини другої статті 55 Закону України „Про Конституційний Суд України“.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Повторно суб’єкт права на конституційну скаргу звернувся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Конституційного Суду України з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конституційною скаргою 6 серпня 2025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року (</w:t>
      </w:r>
      <w:proofErr w:type="spellStart"/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вх</w:t>
      </w:r>
      <w:proofErr w:type="spellEnd"/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№ 21/3225).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Отже, конституційну скаргу подано поза межами вимог, передбачених пунктом 2 частини першо</w:t>
      </w:r>
      <w:r w:rsidR="00244DBD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ї статті 77 Закону України „Про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Конституційний Суд України“.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Суб’єкт права на конституційну скаргу просить визнати розгляд конституційної скарги необхідним із мотивів суспільного інтересу та поновити пропущений строк, </w:t>
      </w:r>
      <w:r w:rsidR="00E678AB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оскільки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він є ветераном війни, учасником бойових дій,</w:t>
      </w:r>
      <w:r w:rsidR="00D72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D72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також проходить реабілітацію та відновлення у лікувальних закладах. 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Ураховуючи вимоги частини третьої статті 77 Закону України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„Про Конституційний Суд України“</w:t>
      </w:r>
      <w:r w:rsidR="00DE3899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Третя колегія суддів Першого сенату Конституційного Суду України вважає, що немає підстав для поновлення пропущеного строку. 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Воловенко Г.М. не навів </w:t>
      </w:r>
      <w:r w:rsidR="000D2B87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аргументів на підтвердження необхідності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розгляду його </w:t>
      </w:r>
      <w:r w:rsidR="000D2B87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конституційної скарги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із мотивів суспільного інтересу</w:t>
      </w:r>
      <w:r w:rsidR="000D2B87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отже</w:t>
      </w:r>
      <w:r w:rsidR="00D72B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0D2B87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Третя колегія суддів Першого сенату Конституційного Суду України вважає,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0D2B87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що немає підстав для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прийняття </w:t>
      </w:r>
      <w:r w:rsidR="000D2B87"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її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поза межами вимог, установлених пунктом 2 частини першої статті 77 цього закону. 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4.2. Конституційний Суд України наголошував, що особа, яка звертається до Конституційного Суду України, повинна не лише 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зазначити,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й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аргументовано довести, як саме оспорюваний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закон (його окремі приписи), застосований в остаточному судовому рішенні в її справі, порушує її гарантоване Конституцією України право [Ухвала Другого сенату Конституційного Суду України від 3 червня 2020 року № 10-уп(ІІ)/2020].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 аналізу конституційної скарги та долучених до неї матеріалів убачається, що Воловенко Г.М., твердячи про неконституційність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окремих приписів частини п’ятої статті 13 </w:t>
      </w:r>
      <w:r w:rsidR="00E678AB"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Закону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не обґрунтував, як </w:t>
      </w:r>
      <w:r w:rsidR="00E678AB"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ці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приписи</w:t>
      </w:r>
      <w:r w:rsidR="00E678AB"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Закону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порушують гарантовані Конституцією України права та фактично навів власне бачення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="00E678AB"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їх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застосування</w:t>
      </w:r>
      <w:r w:rsidR="00E678AB"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що не можна вважати належним обґрунтуванням їх</w:t>
      </w:r>
      <w:r w:rsidR="00244DBD"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 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неконституційності.</w:t>
      </w:r>
    </w:p>
    <w:p w:rsidR="003A1E42" w:rsidRDefault="003A1E42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Наведене свідчить про те, що конституційна скарга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Воловенка Г.М.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не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відповідає вимогам статті 55 Закону України „Про Конституційний Суд України“, що є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підставою для відмови у відкритті конституційного провадження у справі згідно з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пунктом 4 статті 62 цього закону – неприйнятність конституційної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скарги.</w:t>
      </w:r>
    </w:p>
    <w:p w:rsidR="008764CE" w:rsidRPr="008764CE" w:rsidRDefault="008764CE" w:rsidP="008764CE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Ураховуючи викладене та керуючись статтями 147,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151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1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153 Конституції України, на підставі статей 7, 32, 37, 50, 55, 56, 58, 61, 62, 77, 83, 86 Закону України „Про Конституційний Суд України“, відповідно до § 45, §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 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56 Регламенту Конституційного Суду України Третя колегія суддів Першого сенату Конституційного Суду України</w:t>
      </w:r>
    </w:p>
    <w:p w:rsidR="003A1E42" w:rsidRPr="008764CE" w:rsidRDefault="003A1E42" w:rsidP="008764CE">
      <w:pPr>
        <w:spacing w:after="0" w:line="372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8764C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 о с т а н о в и л а:</w:t>
      </w:r>
    </w:p>
    <w:p w:rsidR="003A1E42" w:rsidRPr="008764CE" w:rsidRDefault="003A1E42" w:rsidP="008764CE">
      <w:pPr>
        <w:spacing w:after="0" w:line="372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1. Відмовити у відкритті конституційного провадження у справі</w:t>
      </w:r>
      <w:r w:rsid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</w:t>
      </w:r>
      <w:r w:rsid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конституційною скаргою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Воловенка Геннадія Миколайовича </w:t>
      </w:r>
      <w:r w:rsidRPr="008764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щодо відповідності Конституції України (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конституційності) окремих приписів частини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п’ятої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статті 13 Закону України „Про житлово-комунальні послуги“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</w:t>
      </w:r>
      <w:r w:rsid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9 листопада 2017 року № 2189–VІII </w:t>
      </w:r>
      <w:r w:rsidR="00EB6E93"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зі змінами </w:t>
      </w:r>
      <w:r w:rsidRPr="008764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підставі пункту 4 статті 62 Закону України „Про Конституційний Суд України“ – неприйнятність конституційної скарги.</w:t>
      </w:r>
    </w:p>
    <w:p w:rsidR="003A1E42" w:rsidRPr="008764CE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D718AC" w:rsidRDefault="003A1E42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764C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2. Ухвала є остаточною.</w:t>
      </w:r>
    </w:p>
    <w:p w:rsidR="008764CE" w:rsidRDefault="008764CE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D55499" w:rsidRPr="00D55499" w:rsidRDefault="00D55499" w:rsidP="008764CE">
      <w:pPr>
        <w:spacing w:after="0" w:line="372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D55499" w:rsidRPr="00D55499" w:rsidRDefault="00D55499" w:rsidP="00D5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499" w:rsidRPr="00D55499" w:rsidRDefault="00D55499" w:rsidP="00D55499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99">
        <w:rPr>
          <w:rFonts w:ascii="Times New Roman" w:hAnsi="Times New Roman" w:cs="Times New Roman"/>
          <w:b/>
          <w:sz w:val="28"/>
          <w:szCs w:val="28"/>
        </w:rPr>
        <w:t>ТРЕТЯ КОЛЕГІЯ СУДДІВ</w:t>
      </w:r>
    </w:p>
    <w:p w:rsidR="00D55499" w:rsidRPr="00D55499" w:rsidRDefault="00D55499" w:rsidP="00D55499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99">
        <w:rPr>
          <w:rFonts w:ascii="Times New Roman" w:hAnsi="Times New Roman" w:cs="Times New Roman"/>
          <w:b/>
          <w:sz w:val="28"/>
          <w:szCs w:val="28"/>
        </w:rPr>
        <w:t>ПЕРШОГО СЕНАТУ</w:t>
      </w:r>
    </w:p>
    <w:p w:rsidR="00D55499" w:rsidRPr="00D55499" w:rsidRDefault="00D55499" w:rsidP="00D55499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5499">
        <w:rPr>
          <w:rFonts w:ascii="Times New Roman" w:hAnsi="Times New Roman" w:cs="Times New Roman"/>
          <w:b/>
          <w:sz w:val="28"/>
          <w:szCs w:val="28"/>
        </w:rPr>
        <w:t>КОНСТИТУЦІЙНОГО СУДУ УКРАЇНИ</w:t>
      </w:r>
      <w:bookmarkStart w:id="2" w:name="_GoBack"/>
      <w:bookmarkEnd w:id="2"/>
    </w:p>
    <w:sectPr w:rsidR="00D55499" w:rsidRPr="00D55499" w:rsidSect="008764CE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81" w:rsidRDefault="003D7081">
      <w:pPr>
        <w:spacing w:after="0" w:line="240" w:lineRule="auto"/>
      </w:pPr>
      <w:r>
        <w:separator/>
      </w:r>
    </w:p>
  </w:endnote>
  <w:endnote w:type="continuationSeparator" w:id="0">
    <w:p w:rsidR="003D7081" w:rsidRDefault="003D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CE" w:rsidRPr="008764CE" w:rsidRDefault="008764CE">
    <w:pPr>
      <w:pStyle w:val="a6"/>
      <w:rPr>
        <w:rFonts w:ascii="Times New Roman" w:hAnsi="Times New Roman" w:cs="Times New Roman"/>
        <w:sz w:val="10"/>
        <w:szCs w:val="10"/>
      </w:rPr>
    </w:pPr>
    <w:r w:rsidRPr="008764CE">
      <w:rPr>
        <w:rFonts w:ascii="Times New Roman" w:hAnsi="Times New Roman" w:cs="Times New Roman"/>
        <w:sz w:val="10"/>
        <w:szCs w:val="10"/>
      </w:rPr>
      <w:fldChar w:fldCharType="begin"/>
    </w:r>
    <w:r w:rsidRPr="008764C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764CE">
      <w:rPr>
        <w:rFonts w:ascii="Times New Roman" w:hAnsi="Times New Roman" w:cs="Times New Roman"/>
        <w:sz w:val="10"/>
        <w:szCs w:val="10"/>
      </w:rPr>
      <w:fldChar w:fldCharType="separate"/>
    </w:r>
    <w:r w:rsidR="00D55499">
      <w:rPr>
        <w:rFonts w:ascii="Times New Roman" w:hAnsi="Times New Roman" w:cs="Times New Roman"/>
        <w:noProof/>
        <w:sz w:val="10"/>
        <w:szCs w:val="10"/>
      </w:rPr>
      <w:t>S:\Mashburo\2025\Suddi\I senat\III koleg\29.docx</w:t>
    </w:r>
    <w:r w:rsidRPr="008764C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CE" w:rsidRPr="008764CE" w:rsidRDefault="008764CE">
    <w:pPr>
      <w:pStyle w:val="a6"/>
      <w:rPr>
        <w:rFonts w:ascii="Times New Roman" w:hAnsi="Times New Roman" w:cs="Times New Roman"/>
        <w:sz w:val="10"/>
        <w:szCs w:val="10"/>
      </w:rPr>
    </w:pPr>
    <w:r w:rsidRPr="008764CE">
      <w:rPr>
        <w:rFonts w:ascii="Times New Roman" w:hAnsi="Times New Roman" w:cs="Times New Roman"/>
        <w:sz w:val="10"/>
        <w:szCs w:val="10"/>
      </w:rPr>
      <w:fldChar w:fldCharType="begin"/>
    </w:r>
    <w:r w:rsidRPr="008764C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764CE">
      <w:rPr>
        <w:rFonts w:ascii="Times New Roman" w:hAnsi="Times New Roman" w:cs="Times New Roman"/>
        <w:sz w:val="10"/>
        <w:szCs w:val="10"/>
      </w:rPr>
      <w:fldChar w:fldCharType="separate"/>
    </w:r>
    <w:r w:rsidR="00D55499">
      <w:rPr>
        <w:rFonts w:ascii="Times New Roman" w:hAnsi="Times New Roman" w:cs="Times New Roman"/>
        <w:noProof/>
        <w:sz w:val="10"/>
        <w:szCs w:val="10"/>
      </w:rPr>
      <w:t>S:\Mashburo\2025\Suddi\I senat\III koleg\29.docx</w:t>
    </w:r>
    <w:r w:rsidRPr="008764C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81" w:rsidRDefault="003D7081">
      <w:pPr>
        <w:spacing w:after="0" w:line="240" w:lineRule="auto"/>
      </w:pPr>
      <w:r>
        <w:separator/>
      </w:r>
    </w:p>
  </w:footnote>
  <w:footnote w:type="continuationSeparator" w:id="0">
    <w:p w:rsidR="003D7081" w:rsidRDefault="003D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85746961"/>
      <w:docPartObj>
        <w:docPartGallery w:val="Page Numbers (Top of Page)"/>
        <w:docPartUnique/>
      </w:docPartObj>
    </w:sdtPr>
    <w:sdtEndPr/>
    <w:sdtContent>
      <w:p w:rsidR="007A473B" w:rsidRPr="00995D23" w:rsidRDefault="00CE159B" w:rsidP="00995D2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549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99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42"/>
    <w:rsid w:val="000D2B87"/>
    <w:rsid w:val="001C2221"/>
    <w:rsid w:val="001D2CE0"/>
    <w:rsid w:val="0024363E"/>
    <w:rsid w:val="00244DBD"/>
    <w:rsid w:val="003A1E42"/>
    <w:rsid w:val="003D7081"/>
    <w:rsid w:val="0053260D"/>
    <w:rsid w:val="006709DD"/>
    <w:rsid w:val="008468F6"/>
    <w:rsid w:val="008764CE"/>
    <w:rsid w:val="009A7829"/>
    <w:rsid w:val="00A80F12"/>
    <w:rsid w:val="00AF1DDE"/>
    <w:rsid w:val="00C50993"/>
    <w:rsid w:val="00CE159B"/>
    <w:rsid w:val="00D55499"/>
    <w:rsid w:val="00D718AC"/>
    <w:rsid w:val="00D72B62"/>
    <w:rsid w:val="00DE3899"/>
    <w:rsid w:val="00DF1F04"/>
    <w:rsid w:val="00E678AB"/>
    <w:rsid w:val="00E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2815"/>
  <w15:chartTrackingRefBased/>
  <w15:docId w15:val="{98D8B727-647B-4E64-A47E-6C84DBA7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1E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3A1E42"/>
  </w:style>
  <w:style w:type="table" w:styleId="a5">
    <w:name w:val="Table Grid"/>
    <w:basedOn w:val="a1"/>
    <w:uiPriority w:val="39"/>
    <w:rsid w:val="0087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764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764CE"/>
  </w:style>
  <w:style w:type="paragraph" w:styleId="a8">
    <w:name w:val="Balloon Text"/>
    <w:basedOn w:val="a"/>
    <w:link w:val="a9"/>
    <w:uiPriority w:val="99"/>
    <w:semiHidden/>
    <w:unhideWhenUsed/>
    <w:rsid w:val="0087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76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6450</Words>
  <Characters>3677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Б. Бондар</dc:creator>
  <cp:keywords/>
  <dc:description/>
  <cp:lastModifiedBy>Світлана І. Третяк</cp:lastModifiedBy>
  <cp:revision>5</cp:revision>
  <cp:lastPrinted>2025-09-12T07:23:00Z</cp:lastPrinted>
  <dcterms:created xsi:type="dcterms:W3CDTF">2025-09-11T07:18:00Z</dcterms:created>
  <dcterms:modified xsi:type="dcterms:W3CDTF">2025-09-12T07:24:00Z</dcterms:modified>
</cp:coreProperties>
</file>