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8A" w:rsidRPr="00C072C7" w:rsidRDefault="00B3168A" w:rsidP="00B3168A">
      <w:pPr>
        <w:ind w:right="50"/>
        <w:jc w:val="both"/>
        <w:rPr>
          <w:b/>
          <w:bCs/>
          <w:sz w:val="28"/>
          <w:szCs w:val="28"/>
          <w:lang w:val="en-GB"/>
        </w:rPr>
      </w:pPr>
      <w:proofErr w:type="gramStart"/>
      <w:r w:rsidRPr="00C072C7">
        <w:rPr>
          <w:b/>
          <w:bCs/>
          <w:sz w:val="28"/>
          <w:szCs w:val="28"/>
          <w:lang w:val="en-GB"/>
        </w:rPr>
        <w:t>Summary to the Decision of the Second Senate of the Constitutional Court</w:t>
      </w:r>
      <w:r w:rsidR="004516E6" w:rsidRPr="00C072C7">
        <w:rPr>
          <w:b/>
          <w:bCs/>
          <w:sz w:val="28"/>
          <w:szCs w:val="28"/>
          <w:lang w:val="en-GB"/>
        </w:rPr>
        <w:t xml:space="preserve"> of Ukraine </w:t>
      </w:r>
      <w:r w:rsidRPr="00C072C7">
        <w:rPr>
          <w:b/>
          <w:bCs/>
          <w:sz w:val="28"/>
          <w:szCs w:val="28"/>
          <w:lang w:val="en-GB"/>
        </w:rPr>
        <w:t xml:space="preserve">No. 11-r(II)/2024 dated December 18, 2024, in the case upon the constitutional complaint of Bohdan </w:t>
      </w:r>
      <w:proofErr w:type="spellStart"/>
      <w:r w:rsidRPr="00C072C7">
        <w:rPr>
          <w:b/>
          <w:bCs/>
          <w:sz w:val="28"/>
          <w:szCs w:val="28"/>
          <w:lang w:val="en-GB"/>
        </w:rPr>
        <w:t>Panchenko</w:t>
      </w:r>
      <w:proofErr w:type="spellEnd"/>
      <w:r w:rsidRPr="00C072C7">
        <w:rPr>
          <w:b/>
          <w:bCs/>
          <w:sz w:val="28"/>
          <w:szCs w:val="28"/>
          <w:lang w:val="en-GB"/>
        </w:rPr>
        <w:t xml:space="preserve"> on the compliance of Article</w:t>
      </w:r>
      <w:r w:rsidR="00C072C7">
        <w:rPr>
          <w:b/>
          <w:bCs/>
          <w:sz w:val="28"/>
          <w:szCs w:val="28"/>
        </w:rPr>
        <w:t> </w:t>
      </w:r>
      <w:r w:rsidRPr="00C072C7">
        <w:rPr>
          <w:b/>
          <w:bCs/>
          <w:sz w:val="28"/>
          <w:szCs w:val="28"/>
          <w:lang w:val="en-GB"/>
        </w:rPr>
        <w:t>51.1.9, paragraph 5</w:t>
      </w:r>
      <w:r w:rsidRPr="00C072C7">
        <w:rPr>
          <w:b/>
          <w:bCs/>
          <w:sz w:val="28"/>
          <w:szCs w:val="28"/>
          <w:vertAlign w:val="superscript"/>
          <w:lang w:val="en-GB"/>
        </w:rPr>
        <w:t>1</w:t>
      </w:r>
      <w:r w:rsidRPr="00C072C7">
        <w:rPr>
          <w:b/>
          <w:bCs/>
          <w:sz w:val="28"/>
          <w:szCs w:val="28"/>
          <w:lang w:val="en-GB"/>
        </w:rPr>
        <w:t xml:space="preserve">.1 of Section XIII “Transitional Provisions” of the Law “On the Prosecution Office” No. 1697-VII dated October 14, 2014 with the Constitution </w:t>
      </w:r>
      <w:r w:rsidR="00B047CC">
        <w:rPr>
          <w:b/>
          <w:bCs/>
          <w:sz w:val="28"/>
          <w:szCs w:val="28"/>
          <w:lang w:val="en-GB"/>
        </w:rPr>
        <w:t xml:space="preserve">of Ukraine </w:t>
      </w:r>
      <w:r w:rsidRPr="00C072C7">
        <w:rPr>
          <w:b/>
          <w:bCs/>
          <w:sz w:val="28"/>
          <w:szCs w:val="28"/>
          <w:lang w:val="en-GB"/>
        </w:rPr>
        <w:t>(constitutionality) (</w:t>
      </w:r>
      <w:r w:rsidR="00C072C7">
        <w:rPr>
          <w:b/>
          <w:bCs/>
          <w:sz w:val="28"/>
          <w:szCs w:val="28"/>
          <w:lang w:val="en-US"/>
        </w:rPr>
        <w:t>on</w:t>
      </w:r>
      <w:r w:rsidRPr="00C072C7">
        <w:rPr>
          <w:b/>
          <w:bCs/>
          <w:sz w:val="28"/>
          <w:szCs w:val="28"/>
          <w:lang w:val="en-GB"/>
        </w:rPr>
        <w:t xml:space="preserve"> the constitutional guarantees of the independence of the prosecutor)</w:t>
      </w:r>
      <w:proofErr w:type="gramEnd"/>
      <w:r w:rsidRPr="00C072C7">
        <w:rPr>
          <w:b/>
          <w:bCs/>
          <w:sz w:val="28"/>
          <w:szCs w:val="28"/>
          <w:lang w:val="en-GB"/>
        </w:rPr>
        <w:t xml:space="preserve"> </w:t>
      </w:r>
    </w:p>
    <w:p w:rsidR="00732196" w:rsidRPr="00C072C7" w:rsidRDefault="00732196" w:rsidP="00732196">
      <w:pPr>
        <w:ind w:right="50"/>
        <w:rPr>
          <w:b/>
          <w:sz w:val="28"/>
          <w:szCs w:val="28"/>
          <w:lang w:val="en-GB"/>
        </w:rPr>
      </w:pPr>
    </w:p>
    <w:p w:rsidR="00943CE1"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Bohdan </w:t>
      </w:r>
      <w:proofErr w:type="spellStart"/>
      <w:r w:rsidRPr="00C072C7">
        <w:rPr>
          <w:rFonts w:ascii="Times New Roman" w:hAnsi="Times New Roman" w:cs="Times New Roman"/>
          <w:sz w:val="28"/>
          <w:szCs w:val="28"/>
          <w:lang w:val="en-GB"/>
        </w:rPr>
        <w:t>Panchenko</w:t>
      </w:r>
      <w:proofErr w:type="spellEnd"/>
      <w:r w:rsidRPr="00C072C7">
        <w:rPr>
          <w:rFonts w:ascii="Times New Roman" w:hAnsi="Times New Roman" w:cs="Times New Roman"/>
          <w:sz w:val="28"/>
          <w:szCs w:val="28"/>
          <w:lang w:val="en-GB"/>
        </w:rPr>
        <w:t xml:space="preserve"> appealed to the Constitutional Court</w:t>
      </w:r>
      <w:r w:rsidR="004516E6" w:rsidRPr="00C072C7">
        <w:rPr>
          <w:rFonts w:ascii="Times New Roman" w:hAnsi="Times New Roman" w:cs="Times New Roman"/>
          <w:sz w:val="28"/>
          <w:szCs w:val="28"/>
          <w:lang w:val="en-GB"/>
        </w:rPr>
        <w:t xml:space="preserve"> of Ukraine</w:t>
      </w:r>
      <w:r w:rsidRPr="00C072C7">
        <w:rPr>
          <w:rFonts w:ascii="Times New Roman" w:hAnsi="Times New Roman" w:cs="Times New Roman"/>
          <w:sz w:val="28"/>
          <w:szCs w:val="28"/>
          <w:lang w:val="en-GB"/>
        </w:rPr>
        <w:t xml:space="preserve"> to verify the compliance of Article 51.1.9, paragraph 5</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.1 of Section XIII “Transitional Provisions” of the Law “On the Prosecution Office” No. 1697-VII dated October 14</w:t>
      </w:r>
      <w:r w:rsidR="00C072C7">
        <w:rPr>
          <w:rFonts w:ascii="Times New Roman" w:hAnsi="Times New Roman" w:cs="Times New Roman"/>
          <w:sz w:val="28"/>
          <w:szCs w:val="28"/>
          <w:lang w:val="en-GB"/>
        </w:rPr>
        <w:t xml:space="preserve">, 2014, as amended (hereinafter, </w:t>
      </w:r>
      <w:r w:rsidRPr="00C072C7">
        <w:rPr>
          <w:rFonts w:ascii="Times New Roman" w:hAnsi="Times New Roman" w:cs="Times New Roman"/>
          <w:sz w:val="28"/>
          <w:szCs w:val="28"/>
          <w:lang w:val="en-GB"/>
        </w:rPr>
        <w:t>“Law No. 1697”) with Articles 22.3, 32.1, 43.1, 43.6, 58.1 of the Constitution of Ukraine (constitutionality) .</w:t>
      </w:r>
    </w:p>
    <w:p w:rsidR="00943CE1" w:rsidRPr="00C072C7" w:rsidRDefault="00F56178" w:rsidP="00F56178">
      <w:pPr>
        <w:pStyle w:val="HTML"/>
        <w:ind w:firstLine="851"/>
        <w:jc w:val="both"/>
        <w:rPr>
          <w:rFonts w:ascii="Georgia" w:hAnsi="Georgia"/>
          <w:color w:val="000000"/>
          <w:sz w:val="27"/>
          <w:szCs w:val="27"/>
          <w:shd w:val="clear" w:color="auto" w:fill="FCFCFC"/>
          <w:lang w:val="en-GB"/>
        </w:rPr>
      </w:pPr>
      <w:r w:rsidRPr="00C072C7">
        <w:rPr>
          <w:rFonts w:ascii="Georgia" w:hAnsi="Georgia"/>
          <w:color w:val="000000"/>
          <w:sz w:val="27"/>
          <w:szCs w:val="27"/>
          <w:shd w:val="clear" w:color="auto" w:fill="FCFCFC"/>
          <w:lang w:val="en-GB"/>
        </w:rPr>
        <w:t xml:space="preserve">According to Article 51.1.9 of Law No. 1697, a prosecutor </w:t>
      </w:r>
      <w:proofErr w:type="gramStart"/>
      <w:r w:rsidRPr="00C072C7">
        <w:rPr>
          <w:rFonts w:ascii="Georgia" w:hAnsi="Georgia"/>
          <w:color w:val="000000"/>
          <w:sz w:val="27"/>
          <w:szCs w:val="27"/>
          <w:shd w:val="clear" w:color="auto" w:fill="FCFCFC"/>
          <w:lang w:val="en-GB"/>
        </w:rPr>
        <w:t>is dismissed</w:t>
      </w:r>
      <w:proofErr w:type="gramEnd"/>
      <w:r w:rsidRPr="00C072C7">
        <w:rPr>
          <w:rFonts w:ascii="Georgia" w:hAnsi="Georgia"/>
          <w:color w:val="000000"/>
          <w:sz w:val="27"/>
          <w:szCs w:val="27"/>
          <w:shd w:val="clear" w:color="auto" w:fill="FCFCFC"/>
          <w:lang w:val="en-GB"/>
        </w:rPr>
        <w:t xml:space="preserve"> from office in the event of “liquidation or reorganization of the prosecution office in which the prosecutor holds a position, or in the event of a reduction in the number of prosecutors in the prosecution office”.</w:t>
      </w:r>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In accordance with paragraph 5</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.1 of Section XIII “Transitional Provisions” of Law No. 1697:</w:t>
      </w:r>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„1) as prosecutors of local prosecution offices shall be appointed:</w:t>
      </w:r>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a) </w:t>
      </w:r>
      <w:proofErr w:type="gramStart"/>
      <w:r w:rsidRPr="00C072C7">
        <w:rPr>
          <w:rFonts w:ascii="Times New Roman" w:hAnsi="Times New Roman" w:cs="Times New Roman"/>
          <w:sz w:val="28"/>
          <w:szCs w:val="28"/>
          <w:lang w:val="en-GB"/>
        </w:rPr>
        <w:t>persons</w:t>
      </w:r>
      <w:proofErr w:type="gramEnd"/>
      <w:r w:rsidRPr="00C072C7">
        <w:rPr>
          <w:rFonts w:ascii="Times New Roman" w:hAnsi="Times New Roman" w:cs="Times New Roman"/>
          <w:sz w:val="28"/>
          <w:szCs w:val="28"/>
          <w:lang w:val="en-GB"/>
        </w:rPr>
        <w:t xml:space="preserve"> who have no experience of work in the prosecution offices –  provided they successfully pass the testing and undergo further internship for up to one year. Such persons shall be subject to the requirements of Articles 27.1, 27.5 of this Law, except for the requirement to have work experience in the field of law</w:t>
      </w:r>
      <w:proofErr w:type="gramStart"/>
      <w:r w:rsidRPr="00C072C7">
        <w:rPr>
          <w:rFonts w:ascii="Times New Roman" w:hAnsi="Times New Roman" w:cs="Times New Roman"/>
          <w:sz w:val="28"/>
          <w:szCs w:val="28"/>
          <w:lang w:val="en-GB"/>
        </w:rPr>
        <w:t>;</w:t>
      </w:r>
      <w:proofErr w:type="gramEnd"/>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b) persons who have experience in prosecutorial activity but are not employed in the prosecution offices as of the date of entry into force of this Law – provided they successfully pass the testing;</w:t>
      </w:r>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c) </w:t>
      </w:r>
      <w:proofErr w:type="gramStart"/>
      <w:r w:rsidRPr="00C072C7">
        <w:rPr>
          <w:rFonts w:ascii="Times New Roman" w:hAnsi="Times New Roman" w:cs="Times New Roman"/>
          <w:sz w:val="28"/>
          <w:szCs w:val="28"/>
          <w:lang w:val="en-GB"/>
        </w:rPr>
        <w:t>prosecutors</w:t>
      </w:r>
      <w:proofErr w:type="gramEnd"/>
      <w:r w:rsidRPr="00C072C7">
        <w:rPr>
          <w:rFonts w:ascii="Times New Roman" w:hAnsi="Times New Roman" w:cs="Times New Roman"/>
          <w:sz w:val="28"/>
          <w:szCs w:val="28"/>
          <w:lang w:val="en-GB"/>
        </w:rPr>
        <w:t xml:space="preserve"> working in city, district, </w:t>
      </w:r>
      <w:proofErr w:type="spellStart"/>
      <w:r w:rsidRPr="00C072C7">
        <w:rPr>
          <w:rFonts w:ascii="Times New Roman" w:hAnsi="Times New Roman" w:cs="Times New Roman"/>
          <w:sz w:val="28"/>
          <w:szCs w:val="28"/>
          <w:lang w:val="en-GB"/>
        </w:rPr>
        <w:t>interdistrict</w:t>
      </w:r>
      <w:proofErr w:type="spellEnd"/>
      <w:r w:rsidRPr="00C072C7">
        <w:rPr>
          <w:rFonts w:ascii="Times New Roman" w:hAnsi="Times New Roman" w:cs="Times New Roman"/>
          <w:sz w:val="28"/>
          <w:szCs w:val="28"/>
          <w:lang w:val="en-GB"/>
        </w:rPr>
        <w:t>, or district in cities prosecution offices as of the date of entry into force of this Law – provided they successfully pass the testing.</w:t>
      </w:r>
    </w:p>
    <w:p w:rsidR="00F56178" w:rsidRPr="00C072C7" w:rsidRDefault="00F56178"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Testing and internship are conducted in accordance with the procedure approved by the Prosecutor General of Ukraine.”</w:t>
      </w:r>
    </w:p>
    <w:p w:rsidR="00F56178" w:rsidRPr="00C072C7" w:rsidRDefault="00F56178" w:rsidP="00F56178">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t xml:space="preserve">Having examined the content of the constitutional complaint and the case file, the Constitutional Court of Ukraine found that the Supreme Court in its ruling dated April 13, 2023, which is the final court decision in the case of </w:t>
      </w:r>
      <w:r w:rsidR="00B669DA" w:rsidRPr="00C072C7">
        <w:rPr>
          <w:rFonts w:ascii="Times New Roman" w:hAnsi="Times New Roman" w:cs="Times New Roman"/>
          <w:sz w:val="28"/>
          <w:szCs w:val="28"/>
          <w:lang w:val="en-GB"/>
        </w:rPr>
        <w:t>the subject of the right to a constitutional complaint</w:t>
      </w:r>
      <w:r w:rsidRPr="00C072C7">
        <w:rPr>
          <w:rFonts w:ascii="Times New Roman" w:hAnsi="Times New Roman" w:cs="Times New Roman"/>
          <w:sz w:val="28"/>
          <w:szCs w:val="28"/>
          <w:lang w:val="en-GB"/>
        </w:rPr>
        <w:t>, applied Article 51.1.9 and subparagraph “c” of paragraph</w:t>
      </w:r>
      <w:r w:rsidR="003F5EBA">
        <w:rPr>
          <w:rFonts w:ascii="Times New Roman" w:hAnsi="Times New Roman" w:cs="Times New Roman"/>
          <w:sz w:val="28"/>
          <w:szCs w:val="28"/>
          <w:lang w:val="en-GB"/>
        </w:rPr>
        <w:t> </w:t>
      </w:r>
      <w:r w:rsidR="00B669DA" w:rsidRPr="00C072C7">
        <w:rPr>
          <w:rFonts w:ascii="Times New Roman" w:hAnsi="Times New Roman" w:cs="Times New Roman"/>
          <w:sz w:val="28"/>
          <w:szCs w:val="28"/>
          <w:lang w:val="en-GB"/>
        </w:rPr>
        <w:t>5</w:t>
      </w:r>
      <w:r w:rsidR="00B669DA" w:rsidRPr="00C072C7">
        <w:rPr>
          <w:rFonts w:ascii="Times New Roman" w:hAnsi="Times New Roman" w:cs="Times New Roman"/>
          <w:sz w:val="28"/>
          <w:szCs w:val="28"/>
          <w:vertAlign w:val="superscript"/>
          <w:lang w:val="en-GB"/>
        </w:rPr>
        <w:t>1</w:t>
      </w:r>
      <w:r w:rsidR="00B669DA" w:rsidRPr="00C072C7">
        <w:rPr>
          <w:rFonts w:ascii="Times New Roman" w:hAnsi="Times New Roman" w:cs="Times New Roman"/>
          <w:sz w:val="28"/>
          <w:szCs w:val="28"/>
          <w:lang w:val="en-GB"/>
        </w:rPr>
        <w:t>.1</w:t>
      </w:r>
      <w:r w:rsidRPr="00C072C7">
        <w:rPr>
          <w:rFonts w:ascii="Times New Roman" w:hAnsi="Times New Roman" w:cs="Times New Roman"/>
          <w:sz w:val="28"/>
          <w:szCs w:val="28"/>
          <w:lang w:val="en-GB"/>
        </w:rPr>
        <w:t xml:space="preserve"> of Section XIII “Transitiona</w:t>
      </w:r>
      <w:r w:rsidR="00B669DA" w:rsidRPr="00C072C7">
        <w:rPr>
          <w:rFonts w:ascii="Times New Roman" w:hAnsi="Times New Roman" w:cs="Times New Roman"/>
          <w:sz w:val="28"/>
          <w:szCs w:val="28"/>
          <w:lang w:val="en-GB"/>
        </w:rPr>
        <w:t>l Provisions” of Law No. 1697.</w:t>
      </w:r>
      <w:proofErr w:type="gramEnd"/>
    </w:p>
    <w:p w:rsidR="00B669DA" w:rsidRPr="00C072C7" w:rsidRDefault="00B669DA"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Thus, the subject of constitutional review in this constitutional proceeding is Article 51.1.9, subparagraph “c” of paragraph 5</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.1 of Section XIII “Transitional Provisions” of Law No. 1697.</w:t>
      </w:r>
    </w:p>
    <w:p w:rsidR="00B669DA" w:rsidRPr="00C072C7" w:rsidRDefault="00B669DA" w:rsidP="00F56178">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Given the provisions of the Fundamental Law and the legal positions of the Constitutional Court of Ukraine, </w:t>
      </w:r>
      <w:proofErr w:type="gramStart"/>
      <w:r w:rsidRPr="00C072C7">
        <w:rPr>
          <w:rFonts w:ascii="Times New Roman" w:hAnsi="Times New Roman" w:cs="Times New Roman"/>
          <w:sz w:val="28"/>
          <w:szCs w:val="28"/>
          <w:lang w:val="en-GB"/>
        </w:rPr>
        <w:t>the guarantees of prosecutor's independence, in particular from unjustified dismissal, must be clearly and understandably defined by law</w:t>
      </w:r>
      <w:proofErr w:type="gramEnd"/>
      <w:r w:rsidRPr="00C072C7">
        <w:rPr>
          <w:rFonts w:ascii="Times New Roman" w:hAnsi="Times New Roman" w:cs="Times New Roman"/>
          <w:sz w:val="28"/>
          <w:szCs w:val="28"/>
          <w:lang w:val="en-GB"/>
        </w:rPr>
        <w:t>.</w:t>
      </w:r>
    </w:p>
    <w:p w:rsidR="00F56178" w:rsidRPr="00C072C7" w:rsidRDefault="00F56178" w:rsidP="00943CE1">
      <w:pPr>
        <w:pStyle w:val="HTML"/>
        <w:ind w:firstLine="851"/>
        <w:jc w:val="both"/>
        <w:rPr>
          <w:rFonts w:ascii="Times New Roman" w:hAnsi="Times New Roman" w:cs="Times New Roman"/>
          <w:sz w:val="28"/>
          <w:szCs w:val="28"/>
          <w:lang w:val="en-GB"/>
        </w:rPr>
      </w:pPr>
    </w:p>
    <w:p w:rsidR="00B669DA" w:rsidRPr="00C072C7" w:rsidRDefault="00B669DA" w:rsidP="00943CE1">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lastRenderedPageBreak/>
        <w:t>The persons who make decisions on dismissal of prosecutors in accordance with the procedure established in Article 51.2 of Law No. 1697 are the Prosecutor General - in respect of prosecutors of the Prosecutor General's Office (paragraph 1); the head of the regional prosecut</w:t>
      </w:r>
      <w:r w:rsidR="00E80B24">
        <w:rPr>
          <w:rFonts w:ascii="Times New Roman" w:hAnsi="Times New Roman" w:cs="Times New Roman"/>
          <w:sz w:val="28"/>
          <w:szCs w:val="28"/>
          <w:lang w:val="en-GB"/>
        </w:rPr>
        <w:t>ion</w:t>
      </w:r>
      <w:r w:rsidRPr="00C072C7">
        <w:rPr>
          <w:rFonts w:ascii="Times New Roman" w:hAnsi="Times New Roman" w:cs="Times New Roman"/>
          <w:sz w:val="28"/>
          <w:szCs w:val="28"/>
          <w:lang w:val="en-GB"/>
        </w:rPr>
        <w:t xml:space="preserve"> office - in respect of prosecutors of the relevant regional prosecution office and prosecutors of district prosecution offices located within the administrative-territorial unit that falls under the territorial jurisdiction of the relevant regional prosecution office (paragraph 2).</w:t>
      </w:r>
      <w:proofErr w:type="gramEnd"/>
    </w:p>
    <w:p w:rsidR="00943CE1" w:rsidRPr="00C072C7" w:rsidRDefault="00B669DA" w:rsidP="00B669DA">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t>The exercise by the Prosecutor General of the power to liquidate or reorganize a prosecution office or reduce the number of prosecutors' positions in a prosecution office has not only the legal consequence of liquidating or reorganizing a prosecution office or reducing the number of prosecutors' positions in a prosecution office, but also a hidden legal consequence – dismissal of a prosecutor from the position he or she holds in the relevant prosecution office.</w:t>
      </w:r>
      <w:proofErr w:type="gramEnd"/>
    </w:p>
    <w:p w:rsidR="00EC55A7" w:rsidRPr="00C072C7" w:rsidRDefault="00EC55A7" w:rsidP="00943CE1">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t>The dismissal of a prosecutor under Article 51.1.9 of Law No. 1697 makes it possible to influence or put pressure on the independence of a prosecutor, as a prosecutor may be dismissed not only as a result of his or her decisions, actions or inactions, but also because of a decision to liquidate or reorganize the prosecution office or to reduce the number of prosecutors in the prosecution office.</w:t>
      </w:r>
      <w:proofErr w:type="gramEnd"/>
    </w:p>
    <w:p w:rsidR="00943CE1" w:rsidRPr="00C072C7" w:rsidRDefault="00D0795E" w:rsidP="00D0795E">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Article 51.1.9 of Law No. 1697 grants the Prosecutor General discretionary powers without clearly defining their </w:t>
      </w:r>
      <w:r w:rsidR="00E80B24" w:rsidRPr="00C072C7">
        <w:rPr>
          <w:rFonts w:ascii="Times New Roman" w:hAnsi="Times New Roman" w:cs="Times New Roman"/>
          <w:sz w:val="28"/>
          <w:szCs w:val="28"/>
          <w:lang w:val="en-GB"/>
        </w:rPr>
        <w:t>scope that</w:t>
      </w:r>
      <w:r w:rsidRPr="00C072C7">
        <w:rPr>
          <w:rFonts w:ascii="Times New Roman" w:hAnsi="Times New Roman" w:cs="Times New Roman"/>
          <w:sz w:val="28"/>
          <w:szCs w:val="28"/>
          <w:lang w:val="en-GB"/>
        </w:rPr>
        <w:t xml:space="preserve"> contradicts </w:t>
      </w:r>
      <w:r w:rsidRPr="00E80B24">
        <w:rPr>
          <w:rFonts w:ascii="Times New Roman" w:hAnsi="Times New Roman" w:cs="Times New Roman"/>
          <w:sz w:val="28"/>
          <w:szCs w:val="28"/>
          <w:lang w:val="en-GB"/>
        </w:rPr>
        <w:t>Articles 8.1,</w:t>
      </w:r>
      <w:r w:rsidRPr="00C072C7">
        <w:rPr>
          <w:rFonts w:ascii="Times New Roman" w:hAnsi="Times New Roman" w:cs="Times New Roman"/>
          <w:sz w:val="28"/>
          <w:szCs w:val="28"/>
          <w:lang w:val="en-GB"/>
        </w:rPr>
        <w:t xml:space="preserve"> 92.1.14, 131</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.2 of the Constitution</w:t>
      </w:r>
      <w:r w:rsidR="00E93B1E" w:rsidRPr="00E93B1E">
        <w:rPr>
          <w:rFonts w:ascii="Times New Roman" w:hAnsi="Times New Roman" w:cs="Times New Roman"/>
          <w:sz w:val="28"/>
          <w:szCs w:val="28"/>
          <w:lang w:val="en-GB"/>
        </w:rPr>
        <w:t xml:space="preserve"> </w:t>
      </w:r>
      <w:r w:rsidR="00E93B1E" w:rsidRPr="00C072C7">
        <w:rPr>
          <w:rFonts w:ascii="Times New Roman" w:hAnsi="Times New Roman" w:cs="Times New Roman"/>
          <w:sz w:val="28"/>
          <w:szCs w:val="28"/>
          <w:lang w:val="en-GB"/>
        </w:rPr>
        <w:t>of Ukraine</w:t>
      </w:r>
      <w:r w:rsidRPr="00C072C7">
        <w:rPr>
          <w:rFonts w:ascii="Times New Roman" w:hAnsi="Times New Roman" w:cs="Times New Roman"/>
          <w:sz w:val="28"/>
          <w:szCs w:val="28"/>
          <w:lang w:val="en-GB"/>
        </w:rPr>
        <w:t>.</w:t>
      </w:r>
    </w:p>
    <w:p w:rsidR="00D0795E" w:rsidRPr="00C072C7" w:rsidRDefault="00D0795E" w:rsidP="00943CE1">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 xml:space="preserve">The Constitutional Court of Ukraine proceeds primarily from the fact that in order to comply with the requirements of the Constitution of Ukraine, the state must implement in its activities the constitutional principle of its responsibility to the individual and the principle of good governance that </w:t>
      </w:r>
      <w:proofErr w:type="gramStart"/>
      <w:r w:rsidRPr="00C072C7">
        <w:rPr>
          <w:rFonts w:ascii="Times New Roman" w:hAnsi="Times New Roman" w:cs="Times New Roman"/>
          <w:sz w:val="28"/>
          <w:szCs w:val="28"/>
          <w:lang w:val="en-GB"/>
        </w:rPr>
        <w:t>is essentially related</w:t>
      </w:r>
      <w:proofErr w:type="gramEnd"/>
      <w:r w:rsidRPr="00C072C7">
        <w:rPr>
          <w:rFonts w:ascii="Times New Roman" w:hAnsi="Times New Roman" w:cs="Times New Roman"/>
          <w:sz w:val="28"/>
          <w:szCs w:val="28"/>
          <w:lang w:val="en-GB"/>
        </w:rPr>
        <w:t xml:space="preserve"> to it.</w:t>
      </w:r>
    </w:p>
    <w:p w:rsidR="00943CE1" w:rsidRPr="00C072C7" w:rsidRDefault="003518BC" w:rsidP="003518BC">
      <w:pPr>
        <w:pStyle w:val="HTML"/>
        <w:ind w:firstLine="851"/>
        <w:jc w:val="both"/>
        <w:rPr>
          <w:rFonts w:ascii="Times New Roman" w:hAnsi="Times New Roman" w:cs="Times New Roman"/>
          <w:sz w:val="28"/>
          <w:szCs w:val="28"/>
          <w:lang w:val="en-GB"/>
        </w:rPr>
      </w:pPr>
      <w:r w:rsidRPr="00C072C7">
        <w:rPr>
          <w:rFonts w:ascii="Times New Roman" w:hAnsi="Times New Roman" w:cs="Times New Roman"/>
          <w:sz w:val="28"/>
          <w:szCs w:val="28"/>
          <w:lang w:val="en-GB"/>
        </w:rPr>
        <w:t>Subparagraph “c” of paragraph 5</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 xml:space="preserve">.1 of Section XIII “Transitional Provisions” of Law No. 1697 does not establish an additional ground for dismissal of a prosecutor, but is one of the provisions regulating the selection of persons for the positions of prosecutors in the newly </w:t>
      </w:r>
      <w:r w:rsidR="00575D4F">
        <w:rPr>
          <w:rFonts w:ascii="Times New Roman" w:hAnsi="Times New Roman" w:cs="Times New Roman"/>
          <w:sz w:val="28"/>
          <w:szCs w:val="28"/>
          <w:lang w:val="en-GB"/>
        </w:rPr>
        <w:t>established</w:t>
      </w:r>
      <w:r w:rsidRPr="00C072C7">
        <w:rPr>
          <w:rFonts w:ascii="Times New Roman" w:hAnsi="Times New Roman" w:cs="Times New Roman"/>
          <w:sz w:val="28"/>
          <w:szCs w:val="28"/>
          <w:lang w:val="en-GB"/>
        </w:rPr>
        <w:t xml:space="preserve"> prosecution offices.</w:t>
      </w:r>
    </w:p>
    <w:p w:rsidR="003518BC" w:rsidRPr="00C072C7" w:rsidRDefault="003518BC" w:rsidP="00943CE1">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t>The application of testing for the position of a prosecutor in the newly established prosecution office on the basis of subparagraph “c” of paragraph 5</w:t>
      </w:r>
      <w:r w:rsidRPr="00C072C7">
        <w:rPr>
          <w:rFonts w:ascii="Times New Roman" w:hAnsi="Times New Roman" w:cs="Times New Roman"/>
          <w:sz w:val="28"/>
          <w:szCs w:val="28"/>
          <w:vertAlign w:val="superscript"/>
          <w:lang w:val="en-GB"/>
        </w:rPr>
        <w:t>1</w:t>
      </w:r>
      <w:r w:rsidRPr="00C072C7">
        <w:rPr>
          <w:rFonts w:ascii="Times New Roman" w:hAnsi="Times New Roman" w:cs="Times New Roman"/>
          <w:sz w:val="28"/>
          <w:szCs w:val="28"/>
          <w:lang w:val="en-GB"/>
        </w:rPr>
        <w:t xml:space="preserve">.1 of Section XIII “Transitional Provisions” of Law No. 1697 is covered by the legal construction “selection of prosecutors”, which is constitutionalised in Article 131.10 of the Fundamental Law of Ukraine, according to which “in </w:t>
      </w:r>
      <w:r w:rsidR="00575D4F">
        <w:rPr>
          <w:rFonts w:ascii="Times New Roman" w:hAnsi="Times New Roman" w:cs="Times New Roman"/>
          <w:sz w:val="28"/>
          <w:szCs w:val="28"/>
          <w:lang w:val="en-GB"/>
        </w:rPr>
        <w:t>pursuance</w:t>
      </w:r>
      <w:r w:rsidRPr="00C072C7">
        <w:rPr>
          <w:rFonts w:ascii="Times New Roman" w:hAnsi="Times New Roman" w:cs="Times New Roman"/>
          <w:sz w:val="28"/>
          <w:szCs w:val="28"/>
          <w:lang w:val="en-GB"/>
        </w:rPr>
        <w:t xml:space="preserve"> with the law, bodies and institutions are established in the justice system to ensure the selection of ˂…˃ prosecutors”.</w:t>
      </w:r>
      <w:proofErr w:type="gramEnd"/>
    </w:p>
    <w:p w:rsidR="003518BC" w:rsidRPr="00C072C7" w:rsidRDefault="003518BC" w:rsidP="00943CE1">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t xml:space="preserve">The </w:t>
      </w:r>
      <w:r w:rsidR="00575D4F">
        <w:rPr>
          <w:rFonts w:ascii="Times New Roman" w:hAnsi="Times New Roman" w:cs="Times New Roman"/>
          <w:sz w:val="28"/>
          <w:szCs w:val="28"/>
          <w:lang w:val="en-GB"/>
        </w:rPr>
        <w:t>application</w:t>
      </w:r>
      <w:r w:rsidRPr="00C072C7">
        <w:rPr>
          <w:rFonts w:ascii="Times New Roman" w:hAnsi="Times New Roman" w:cs="Times New Roman"/>
          <w:sz w:val="28"/>
          <w:szCs w:val="28"/>
          <w:lang w:val="en-GB"/>
        </w:rPr>
        <w:t xml:space="preserve"> of “successful passing of the testing” as one of the means of selection for the position of a prosecutor in the newly established prosecution office does not violate the independence of the prosecutor, since the success of such testing in the process of selection of prosecutors depends primarily on the professional knowledge, skills and other personal qualities of the candidate for the position of a prosecutor, and not on the decisions and actions of the Prosecutor General and/or other official.</w:t>
      </w:r>
      <w:proofErr w:type="gramEnd"/>
    </w:p>
    <w:p w:rsidR="00943CE1" w:rsidRPr="00C072C7" w:rsidRDefault="003518BC" w:rsidP="003518BC">
      <w:pPr>
        <w:pStyle w:val="HTML"/>
        <w:ind w:firstLine="851"/>
        <w:jc w:val="both"/>
        <w:rPr>
          <w:rFonts w:ascii="Times New Roman" w:hAnsi="Times New Roman" w:cs="Times New Roman"/>
          <w:sz w:val="28"/>
          <w:szCs w:val="28"/>
          <w:lang w:val="en-GB"/>
        </w:rPr>
      </w:pPr>
      <w:proofErr w:type="gramStart"/>
      <w:r w:rsidRPr="00C072C7">
        <w:rPr>
          <w:rFonts w:ascii="Times New Roman" w:hAnsi="Times New Roman" w:cs="Times New Roman"/>
          <w:sz w:val="28"/>
          <w:szCs w:val="28"/>
          <w:lang w:val="en-GB"/>
        </w:rPr>
        <w:lastRenderedPageBreak/>
        <w:t xml:space="preserve">The successful passing of the testing as a condition for holding the position of a prosecutor in the newly </w:t>
      </w:r>
      <w:r w:rsidR="006750C0">
        <w:rPr>
          <w:rFonts w:ascii="Times New Roman" w:hAnsi="Times New Roman" w:cs="Times New Roman"/>
          <w:sz w:val="28"/>
          <w:szCs w:val="28"/>
          <w:lang w:val="en-GB"/>
        </w:rPr>
        <w:t>established</w:t>
      </w:r>
      <w:r w:rsidRPr="00C072C7">
        <w:rPr>
          <w:rFonts w:ascii="Times New Roman" w:hAnsi="Times New Roman" w:cs="Times New Roman"/>
          <w:sz w:val="28"/>
          <w:szCs w:val="28"/>
          <w:lang w:val="en-GB"/>
        </w:rPr>
        <w:t xml:space="preserve"> prosecution office ensures the implementation of the principle of good governance in the organisation and activities of the prosecution office, and participants in public relations have reasonable expectations that only those persons who have the personal qualities appropriate for this position, primarily professional knowledge and skills, and are of high integrity, will be appointed as prosecutors.</w:t>
      </w:r>
      <w:proofErr w:type="gramEnd"/>
      <w:r w:rsidRPr="00C072C7">
        <w:rPr>
          <w:rFonts w:ascii="Times New Roman" w:hAnsi="Times New Roman" w:cs="Times New Roman"/>
          <w:sz w:val="28"/>
          <w:szCs w:val="28"/>
          <w:lang w:val="en-GB"/>
        </w:rPr>
        <w:t xml:space="preserve"> </w:t>
      </w:r>
    </w:p>
    <w:p w:rsidR="003518BC" w:rsidRPr="00C072C7" w:rsidRDefault="003518BC" w:rsidP="00943CE1">
      <w:pPr>
        <w:ind w:firstLine="851"/>
        <w:jc w:val="both"/>
        <w:rPr>
          <w:sz w:val="28"/>
          <w:szCs w:val="28"/>
          <w:lang w:val="en-GB"/>
        </w:rPr>
      </w:pPr>
      <w:r w:rsidRPr="00C072C7">
        <w:rPr>
          <w:sz w:val="28"/>
          <w:szCs w:val="28"/>
          <w:lang w:val="en-GB"/>
        </w:rPr>
        <w:t>The Constitutional Court of Ukraine declared subparagraph “c” of paragraph 5</w:t>
      </w:r>
      <w:r w:rsidRPr="00C072C7">
        <w:rPr>
          <w:sz w:val="28"/>
          <w:szCs w:val="28"/>
          <w:vertAlign w:val="superscript"/>
          <w:lang w:val="en-GB"/>
        </w:rPr>
        <w:t>1</w:t>
      </w:r>
      <w:r w:rsidRPr="00C072C7">
        <w:rPr>
          <w:sz w:val="28"/>
          <w:szCs w:val="28"/>
          <w:lang w:val="en-GB"/>
        </w:rPr>
        <w:t xml:space="preserve">.1 of Section XIII “Transitional Provisions” of </w:t>
      </w:r>
      <w:r w:rsidR="0011290D" w:rsidRPr="00C072C7">
        <w:rPr>
          <w:sz w:val="28"/>
          <w:szCs w:val="28"/>
          <w:lang w:val="en-GB"/>
        </w:rPr>
        <w:t>the Law “On the Prosecution Office” No. 1697–VII dated October 14, 2014</w:t>
      </w:r>
      <w:r w:rsidR="006750C0" w:rsidRPr="00C072C7">
        <w:rPr>
          <w:sz w:val="28"/>
          <w:szCs w:val="28"/>
          <w:lang w:val="en-GB"/>
        </w:rPr>
        <w:t>, as</w:t>
      </w:r>
      <w:r w:rsidR="0011290D" w:rsidRPr="00C072C7">
        <w:rPr>
          <w:sz w:val="28"/>
          <w:szCs w:val="28"/>
          <w:lang w:val="en-GB"/>
        </w:rPr>
        <w:t xml:space="preserve"> amended, as</w:t>
      </w:r>
      <w:r w:rsidRPr="00C072C7">
        <w:rPr>
          <w:sz w:val="28"/>
          <w:szCs w:val="28"/>
          <w:lang w:val="en-GB"/>
        </w:rPr>
        <w:t xml:space="preserve"> compliant with the Constitution of Ukraine (is constitutional).</w:t>
      </w:r>
    </w:p>
    <w:p w:rsidR="0011290D" w:rsidRPr="00C072C7" w:rsidRDefault="0011290D" w:rsidP="00943CE1">
      <w:pPr>
        <w:ind w:firstLine="851"/>
        <w:jc w:val="both"/>
        <w:rPr>
          <w:sz w:val="28"/>
          <w:szCs w:val="28"/>
          <w:lang w:val="en-GB"/>
        </w:rPr>
      </w:pPr>
      <w:r w:rsidRPr="00C072C7">
        <w:rPr>
          <w:sz w:val="28"/>
          <w:szCs w:val="28"/>
          <w:lang w:val="en-GB"/>
        </w:rPr>
        <w:t xml:space="preserve">The Constitutional Court of Ukraine declared Article 51.1.9 of the Law “On the Prosecution Office” No. 1697–VII dated October 14, 2014,  as amended, as inconsistent with the Constitution </w:t>
      </w:r>
      <w:r w:rsidR="006750C0">
        <w:rPr>
          <w:sz w:val="28"/>
          <w:szCs w:val="28"/>
          <w:lang w:val="en-GB"/>
        </w:rPr>
        <w:t xml:space="preserve">of Ukraine </w:t>
      </w:r>
      <w:r w:rsidRPr="00C072C7">
        <w:rPr>
          <w:sz w:val="28"/>
          <w:szCs w:val="28"/>
          <w:lang w:val="en-GB"/>
        </w:rPr>
        <w:t>(unconstitutional); the article declared unconstitutional shall cease to be effective six months after the date of delivery of this Decision by the Constitutional Court of Ukraine.</w:t>
      </w:r>
    </w:p>
    <w:p w:rsidR="00943CE1" w:rsidRPr="00C072C7" w:rsidRDefault="0011290D" w:rsidP="0011290D">
      <w:pPr>
        <w:ind w:firstLine="851"/>
        <w:jc w:val="both"/>
        <w:rPr>
          <w:sz w:val="28"/>
          <w:szCs w:val="28"/>
          <w:lang w:val="en-GB"/>
        </w:rPr>
      </w:pPr>
      <w:proofErr w:type="gramStart"/>
      <w:r w:rsidRPr="00C072C7">
        <w:rPr>
          <w:sz w:val="28"/>
          <w:szCs w:val="28"/>
          <w:lang w:val="en-GB"/>
        </w:rPr>
        <w:t>The Constitutional Court of Ukraine closed the constitutional proceedings in the case concerning the compliance of subparagraphs “a”, “b” and passage 5 of paragraph 5</w:t>
      </w:r>
      <w:r w:rsidRPr="00C072C7">
        <w:rPr>
          <w:sz w:val="28"/>
          <w:szCs w:val="28"/>
          <w:vertAlign w:val="superscript"/>
          <w:lang w:val="en-GB"/>
        </w:rPr>
        <w:t>1</w:t>
      </w:r>
      <w:r w:rsidRPr="00C072C7">
        <w:rPr>
          <w:sz w:val="28"/>
          <w:szCs w:val="28"/>
          <w:lang w:val="en-GB"/>
        </w:rPr>
        <w:t>.1 of Section XIII “Transitional Provisions” of the Law of Ukraine “On the Prosecution Office” No. 1697–VII dated October 14, 2014, as amended, on the basis of Article 62.4 of the Law of Ukraine “On the Constitutional Court of Ukraine” – inadmissibility of the constitutional complaint</w:t>
      </w:r>
      <w:r w:rsidR="006750C0">
        <w:rPr>
          <w:sz w:val="28"/>
          <w:szCs w:val="28"/>
          <w:lang w:val="en-GB"/>
        </w:rPr>
        <w:t xml:space="preserve"> – </w:t>
      </w:r>
      <w:r w:rsidRPr="00C072C7">
        <w:rPr>
          <w:sz w:val="28"/>
          <w:szCs w:val="28"/>
          <w:lang w:val="en-GB"/>
        </w:rPr>
        <w:t>with the Constitution of Ukraine (constitutionality).</w:t>
      </w:r>
      <w:proofErr w:type="gramEnd"/>
    </w:p>
    <w:p w:rsidR="00732196" w:rsidRPr="00C072C7" w:rsidRDefault="00732196" w:rsidP="00732196">
      <w:pPr>
        <w:pStyle w:val="HTML"/>
        <w:ind w:right="-92" w:firstLine="851"/>
        <w:jc w:val="both"/>
        <w:rPr>
          <w:rFonts w:ascii="Times New Roman" w:hAnsi="Times New Roman" w:cs="Times New Roman"/>
          <w:b/>
          <w:bCs/>
          <w:sz w:val="28"/>
          <w:szCs w:val="28"/>
          <w:u w:val="single"/>
          <w:lang w:val="en-GB"/>
        </w:rPr>
      </w:pPr>
    </w:p>
    <w:p w:rsidR="00732196" w:rsidRPr="00B047CC" w:rsidRDefault="00732196" w:rsidP="00732196">
      <w:pPr>
        <w:pStyle w:val="HTML"/>
        <w:ind w:right="-92" w:firstLine="851"/>
        <w:jc w:val="both"/>
        <w:rPr>
          <w:rFonts w:ascii="Times New Roman" w:hAnsi="Times New Roman" w:cs="Times New Roman"/>
          <w:b/>
          <w:bCs/>
          <w:sz w:val="28"/>
          <w:szCs w:val="28"/>
          <w:u w:val="single"/>
          <w:lang w:val="en-GB"/>
        </w:rPr>
      </w:pPr>
      <w:r w:rsidRPr="00B047CC">
        <w:rPr>
          <w:rFonts w:ascii="Times New Roman" w:hAnsi="Times New Roman" w:cs="Times New Roman"/>
          <w:b/>
          <w:bCs/>
          <w:sz w:val="28"/>
          <w:szCs w:val="28"/>
          <w:u w:val="single"/>
          <w:lang w:val="en-GB"/>
        </w:rPr>
        <w:t>Supplementary information:</w:t>
      </w:r>
    </w:p>
    <w:p w:rsidR="00732196" w:rsidRPr="00B047CC" w:rsidRDefault="00732196" w:rsidP="00732196">
      <w:pPr>
        <w:pStyle w:val="HTML"/>
        <w:ind w:right="-92"/>
        <w:jc w:val="both"/>
        <w:rPr>
          <w:rFonts w:ascii="Times New Roman" w:hAnsi="Times New Roman" w:cs="Times New Roman"/>
          <w:bCs/>
          <w:sz w:val="28"/>
          <w:szCs w:val="28"/>
          <w:lang w:val="en-GB"/>
        </w:rPr>
      </w:pPr>
    </w:p>
    <w:p w:rsidR="00732196" w:rsidRPr="00B047CC" w:rsidRDefault="000D0D7E" w:rsidP="00EF1EEF">
      <w:pPr>
        <w:pStyle w:val="HTML"/>
        <w:numPr>
          <w:ilvl w:val="0"/>
          <w:numId w:val="1"/>
        </w:numPr>
        <w:ind w:right="-92"/>
        <w:jc w:val="both"/>
        <w:rPr>
          <w:rFonts w:ascii="Times New Roman" w:hAnsi="Times New Roman" w:cs="Times New Roman"/>
          <w:bCs/>
          <w:sz w:val="28"/>
          <w:szCs w:val="28"/>
          <w:lang w:val="en-GB"/>
        </w:rPr>
      </w:pPr>
      <w:r w:rsidRPr="00B047CC">
        <w:rPr>
          <w:rFonts w:asciiTheme="majorBidi" w:hAnsiTheme="majorBidi" w:cstheme="majorBidi"/>
          <w:sz w:val="28"/>
          <w:szCs w:val="28"/>
          <w:lang w:val="en-GB"/>
        </w:rPr>
        <w:t xml:space="preserve">Report on European Standards as regards the Independence of the Judicial System: Part II </w:t>
      </w:r>
      <w:r w:rsidR="00EF1EEF" w:rsidRPr="00B047CC">
        <w:rPr>
          <w:rFonts w:asciiTheme="majorBidi" w:hAnsiTheme="majorBidi" w:cstheme="majorBidi"/>
          <w:sz w:val="28"/>
          <w:szCs w:val="28"/>
          <w:lang w:val="en-GB"/>
        </w:rPr>
        <w:t>–</w:t>
      </w:r>
      <w:r w:rsidRPr="00B047CC">
        <w:rPr>
          <w:rFonts w:asciiTheme="majorBidi" w:hAnsiTheme="majorBidi" w:cstheme="majorBidi"/>
          <w:sz w:val="28"/>
          <w:szCs w:val="28"/>
          <w:lang w:val="en-GB"/>
        </w:rPr>
        <w:t xml:space="preserve"> the Prosecution Service </w:t>
      </w:r>
      <w:r w:rsidR="00EF1EEF" w:rsidRPr="00B047CC">
        <w:rPr>
          <w:rFonts w:asciiTheme="majorBidi" w:hAnsiTheme="majorBidi" w:cstheme="majorBidi"/>
          <w:sz w:val="28"/>
          <w:szCs w:val="28"/>
          <w:lang w:val="en-GB"/>
        </w:rPr>
        <w:t>–</w:t>
      </w:r>
      <w:r w:rsidRPr="00B047CC">
        <w:rPr>
          <w:rFonts w:asciiTheme="majorBidi" w:hAnsiTheme="majorBidi" w:cstheme="majorBidi"/>
          <w:sz w:val="28"/>
          <w:szCs w:val="28"/>
          <w:lang w:val="en-GB"/>
        </w:rPr>
        <w:t xml:space="preserve"> Adopted by the Venice Commission </w:t>
      </w:r>
      <w:r w:rsidR="00EF1EEF" w:rsidRPr="00B047CC">
        <w:rPr>
          <w:rFonts w:asciiTheme="majorBidi" w:hAnsiTheme="majorBidi" w:cstheme="majorBidi"/>
          <w:sz w:val="28"/>
          <w:szCs w:val="28"/>
          <w:lang w:val="en-GB"/>
        </w:rPr>
        <w:t>–</w:t>
      </w:r>
      <w:r w:rsidRPr="00B047CC">
        <w:rPr>
          <w:rFonts w:asciiTheme="majorBidi" w:hAnsiTheme="majorBidi" w:cstheme="majorBidi"/>
          <w:sz w:val="28"/>
          <w:szCs w:val="28"/>
          <w:lang w:val="en-GB"/>
        </w:rPr>
        <w:t xml:space="preserve"> at its 85</w:t>
      </w:r>
      <w:r w:rsidRPr="00B047CC">
        <w:rPr>
          <w:rFonts w:asciiTheme="majorBidi" w:hAnsiTheme="majorBidi" w:cstheme="majorBidi"/>
          <w:sz w:val="28"/>
          <w:szCs w:val="28"/>
          <w:vertAlign w:val="superscript"/>
          <w:lang w:val="en-GB"/>
        </w:rPr>
        <w:t>th</w:t>
      </w:r>
      <w:r w:rsidRPr="00B047CC">
        <w:rPr>
          <w:rFonts w:asciiTheme="majorBidi" w:hAnsiTheme="majorBidi" w:cstheme="majorBidi"/>
          <w:sz w:val="28"/>
          <w:szCs w:val="28"/>
          <w:lang w:val="en-GB"/>
        </w:rPr>
        <w:t xml:space="preserve"> plenary session (Venice, 17</w:t>
      </w:r>
      <w:r w:rsidR="00EF1EEF" w:rsidRPr="00B047CC">
        <w:rPr>
          <w:rFonts w:asciiTheme="majorBidi" w:hAnsiTheme="majorBidi" w:cstheme="majorBidi"/>
          <w:sz w:val="28"/>
          <w:szCs w:val="28"/>
          <w:lang w:val="en-GB"/>
        </w:rPr>
        <w:t>–</w:t>
      </w:r>
      <w:r w:rsidRPr="00B047CC">
        <w:rPr>
          <w:rFonts w:asciiTheme="majorBidi" w:hAnsiTheme="majorBidi" w:cstheme="majorBidi"/>
          <w:sz w:val="28"/>
          <w:szCs w:val="28"/>
          <w:lang w:val="en-GB"/>
        </w:rPr>
        <w:t>18 December 2010)</w:t>
      </w:r>
      <w:r w:rsidR="00EF1EEF" w:rsidRPr="00B047CC">
        <w:rPr>
          <w:rFonts w:asciiTheme="majorBidi" w:hAnsiTheme="majorBidi" w:cstheme="majorBidi"/>
          <w:sz w:val="28"/>
          <w:szCs w:val="28"/>
          <w:lang w:val="en-GB"/>
        </w:rPr>
        <w:t xml:space="preserve"> </w:t>
      </w:r>
      <w:r w:rsidR="00EF1EEF" w:rsidRPr="00B047CC">
        <w:rPr>
          <w:rFonts w:ascii="Times New Roman" w:hAnsi="Times New Roman"/>
          <w:sz w:val="28"/>
          <w:szCs w:val="28"/>
          <w:lang w:val="en-GB"/>
        </w:rPr>
        <w:t>[CDL-AD(2010)040]</w:t>
      </w:r>
      <w:r w:rsidR="00732196" w:rsidRPr="00B047CC">
        <w:rPr>
          <w:rFonts w:ascii="Times New Roman" w:hAnsi="Times New Roman" w:cs="Times New Roman"/>
          <w:bCs/>
          <w:sz w:val="28"/>
          <w:szCs w:val="28"/>
          <w:lang w:val="en-GB"/>
        </w:rPr>
        <w:t>;</w:t>
      </w:r>
    </w:p>
    <w:p w:rsidR="00EF1EEF" w:rsidRPr="00B047CC" w:rsidRDefault="00EF1EEF" w:rsidP="00EF1EEF">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 xml:space="preserve">Opinion on the Draft Law of Ukraine amending the Constitutional Provisions on the </w:t>
      </w:r>
      <w:proofErr w:type="spellStart"/>
      <w:r w:rsidRPr="00B047CC">
        <w:rPr>
          <w:rFonts w:ascii="Times New Roman" w:hAnsi="Times New Roman" w:cs="Times New Roman"/>
          <w:bCs/>
          <w:sz w:val="28"/>
          <w:szCs w:val="28"/>
          <w:lang w:val="en-GB"/>
        </w:rPr>
        <w:t>Procuracy</w:t>
      </w:r>
      <w:proofErr w:type="spellEnd"/>
      <w:r w:rsidRPr="00B047CC">
        <w:rPr>
          <w:rFonts w:ascii="Times New Roman" w:hAnsi="Times New Roman" w:cs="Times New Roman"/>
          <w:bCs/>
          <w:sz w:val="28"/>
          <w:szCs w:val="28"/>
          <w:lang w:val="en-GB"/>
        </w:rPr>
        <w:t xml:space="preserve"> adopted by the Commission at its 68</w:t>
      </w:r>
      <w:r w:rsidRPr="00B047CC">
        <w:rPr>
          <w:rFonts w:ascii="Times New Roman" w:hAnsi="Times New Roman" w:cs="Times New Roman"/>
          <w:bCs/>
          <w:sz w:val="28"/>
          <w:szCs w:val="28"/>
          <w:vertAlign w:val="superscript"/>
          <w:lang w:val="en-GB"/>
        </w:rPr>
        <w:t>th</w:t>
      </w:r>
      <w:r w:rsidRPr="00B047CC">
        <w:rPr>
          <w:rFonts w:ascii="Times New Roman" w:hAnsi="Times New Roman" w:cs="Times New Roman"/>
          <w:bCs/>
          <w:sz w:val="28"/>
          <w:szCs w:val="28"/>
          <w:lang w:val="en-GB"/>
        </w:rPr>
        <w:t xml:space="preserve"> plenary session (Venice, 13</w:t>
      </w:r>
      <w:r w:rsidRPr="00B047CC">
        <w:rPr>
          <w:rFonts w:asciiTheme="majorBidi" w:hAnsiTheme="majorBidi" w:cstheme="majorBidi"/>
          <w:sz w:val="28"/>
          <w:szCs w:val="28"/>
          <w:lang w:val="en-GB"/>
        </w:rPr>
        <w:t>–</w:t>
      </w:r>
      <w:r w:rsidRPr="00B047CC">
        <w:rPr>
          <w:rFonts w:ascii="Times New Roman" w:hAnsi="Times New Roman" w:cs="Times New Roman"/>
          <w:bCs/>
          <w:sz w:val="28"/>
          <w:szCs w:val="28"/>
          <w:lang w:val="en-GB"/>
        </w:rPr>
        <w:t xml:space="preserve">14 October 2006) </w:t>
      </w:r>
      <w:r w:rsidRPr="00B047CC">
        <w:rPr>
          <w:rFonts w:ascii="Times New Roman" w:hAnsi="Times New Roman"/>
          <w:sz w:val="28"/>
          <w:szCs w:val="28"/>
          <w:lang w:val="en-GB"/>
        </w:rPr>
        <w:t>[CDL-AD(2006)029];</w:t>
      </w:r>
    </w:p>
    <w:p w:rsidR="00732196" w:rsidRPr="00B047CC" w:rsidRDefault="00EF1EEF" w:rsidP="00EF1EEF">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Report on the relationship between political and criminal ministerial responsibility adopted by the Venice Commission at its 94</w:t>
      </w:r>
      <w:r w:rsidRPr="00B047CC">
        <w:rPr>
          <w:rFonts w:ascii="Times New Roman" w:hAnsi="Times New Roman" w:cs="Times New Roman"/>
          <w:bCs/>
          <w:sz w:val="28"/>
          <w:szCs w:val="28"/>
          <w:vertAlign w:val="superscript"/>
          <w:lang w:val="en-GB"/>
        </w:rPr>
        <w:t>th</w:t>
      </w:r>
      <w:r w:rsidRPr="00B047CC">
        <w:rPr>
          <w:rFonts w:ascii="Times New Roman" w:hAnsi="Times New Roman" w:cs="Times New Roman"/>
          <w:bCs/>
          <w:sz w:val="28"/>
          <w:szCs w:val="28"/>
          <w:lang w:val="en-GB"/>
        </w:rPr>
        <w:t xml:space="preserve"> Plenary Session (Venice, 8</w:t>
      </w:r>
      <w:r w:rsidRPr="00B047CC">
        <w:rPr>
          <w:rFonts w:asciiTheme="majorBidi" w:hAnsiTheme="majorBidi" w:cstheme="majorBidi"/>
          <w:sz w:val="28"/>
          <w:szCs w:val="28"/>
          <w:lang w:val="en-GB"/>
        </w:rPr>
        <w:t>–</w:t>
      </w:r>
      <w:r w:rsidRPr="00B047CC">
        <w:rPr>
          <w:rFonts w:ascii="Times New Roman" w:hAnsi="Times New Roman" w:cs="Times New Roman"/>
          <w:bCs/>
          <w:sz w:val="28"/>
          <w:szCs w:val="28"/>
          <w:lang w:val="en-GB"/>
        </w:rPr>
        <w:t xml:space="preserve">9 March 2013) </w:t>
      </w:r>
      <w:r w:rsidRPr="00B047CC">
        <w:rPr>
          <w:rFonts w:ascii="Times New Roman" w:hAnsi="Times New Roman" w:cs="Times New Roman"/>
          <w:sz w:val="28"/>
          <w:szCs w:val="28"/>
          <w:lang w:val="en-GB"/>
        </w:rPr>
        <w:t>[</w:t>
      </w:r>
      <w:r w:rsidRPr="00B047CC">
        <w:rPr>
          <w:rFonts w:ascii="Times New Roman" w:hAnsi="Times New Roman"/>
          <w:sz w:val="28"/>
          <w:szCs w:val="28"/>
          <w:lang w:val="en-GB"/>
        </w:rPr>
        <w:t>CDL-AD(2013)001</w:t>
      </w:r>
      <w:r w:rsidRPr="00B047CC">
        <w:rPr>
          <w:rFonts w:ascii="Times New Roman" w:hAnsi="Times New Roman" w:cs="Times New Roman"/>
          <w:sz w:val="28"/>
          <w:szCs w:val="28"/>
          <w:lang w:val="en-GB"/>
        </w:rPr>
        <w:t>]</w:t>
      </w:r>
      <w:r w:rsidR="00732196" w:rsidRPr="00B047CC">
        <w:rPr>
          <w:rFonts w:ascii="Times New Roman" w:hAnsi="Times New Roman" w:cs="Times New Roman"/>
          <w:bCs/>
          <w:sz w:val="28"/>
          <w:szCs w:val="28"/>
          <w:lang w:val="en-GB"/>
        </w:rPr>
        <w:t xml:space="preserve">; </w:t>
      </w:r>
    </w:p>
    <w:p w:rsidR="00732196" w:rsidRPr="00B047CC" w:rsidRDefault="002C7E13" w:rsidP="002C7E13">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Recommendation Rec(2000)19 of the Committee of Ministers to Member States on the Role of Public Prosecution in the Criminal Justice System adopted by the Committee of Ministers of the Council of Europe on 6 October 2000</w:t>
      </w:r>
      <w:r w:rsidR="00732196" w:rsidRPr="00B047CC">
        <w:rPr>
          <w:rFonts w:ascii="Times New Roman" w:hAnsi="Times New Roman" w:cs="Times New Roman"/>
          <w:bCs/>
          <w:sz w:val="28"/>
          <w:szCs w:val="28"/>
          <w:lang w:val="en-GB"/>
        </w:rPr>
        <w:t>;</w:t>
      </w:r>
    </w:p>
    <w:p w:rsidR="00BF1177" w:rsidRPr="00B047CC" w:rsidRDefault="002C7E13" w:rsidP="002C7E13">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 xml:space="preserve">Bordeaux Declaration on Judges and Prosecutors in a Democratic Society, jointly adopted by the Consultative Council of European Judges [Opinion </w:t>
      </w:r>
      <w:r w:rsidRPr="00B047CC">
        <w:rPr>
          <w:rFonts w:ascii="Times New Roman" w:hAnsi="Times New Roman" w:cs="Times New Roman"/>
          <w:bCs/>
          <w:sz w:val="28"/>
          <w:szCs w:val="28"/>
          <w:lang w:val="en-GB"/>
        </w:rPr>
        <w:lastRenderedPageBreak/>
        <w:t>No. 12 (2009)] and the Consultative Council of European Prosecutors [Opinion No. 4 (2009)] on 8 December 2009</w:t>
      </w:r>
      <w:r w:rsidR="00BF1177" w:rsidRPr="00B047CC">
        <w:rPr>
          <w:rFonts w:ascii="Times New Roman" w:hAnsi="Times New Roman" w:cs="Times New Roman"/>
          <w:bCs/>
          <w:sz w:val="28"/>
          <w:szCs w:val="28"/>
          <w:lang w:val="en-GB"/>
        </w:rPr>
        <w:t>;</w:t>
      </w:r>
    </w:p>
    <w:p w:rsidR="00BF1177" w:rsidRPr="00B047CC" w:rsidRDefault="00BF1177" w:rsidP="00BF1177">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Opinion of the Consultative Council of European Prosecutors “Independence, accountability and ethics of prosecutors” dated November 23, 2018 [Opinion No. 13(2018)];</w:t>
      </w:r>
    </w:p>
    <w:p w:rsidR="00732196" w:rsidRPr="00B047CC" w:rsidRDefault="00BF1177" w:rsidP="00BF1177">
      <w:pPr>
        <w:pStyle w:val="HTML"/>
        <w:numPr>
          <w:ilvl w:val="0"/>
          <w:numId w:val="1"/>
        </w:numPr>
        <w:ind w:right="-92"/>
        <w:jc w:val="both"/>
        <w:rPr>
          <w:rFonts w:ascii="Times New Roman" w:hAnsi="Times New Roman" w:cs="Times New Roman"/>
          <w:bCs/>
          <w:sz w:val="28"/>
          <w:szCs w:val="28"/>
          <w:lang w:val="en-GB"/>
        </w:rPr>
      </w:pPr>
      <w:r w:rsidRPr="00B047CC">
        <w:rPr>
          <w:rFonts w:ascii="Times New Roman" w:hAnsi="Times New Roman" w:cs="Times New Roman"/>
          <w:bCs/>
          <w:sz w:val="28"/>
          <w:szCs w:val="28"/>
          <w:lang w:val="en-GB"/>
        </w:rPr>
        <w:t>Rule of Law Checklist, adopted by the Venice Commission at its 106</w:t>
      </w:r>
      <w:r w:rsidRPr="00B047CC">
        <w:rPr>
          <w:rFonts w:ascii="Times New Roman" w:hAnsi="Times New Roman" w:cs="Times New Roman"/>
          <w:bCs/>
          <w:sz w:val="28"/>
          <w:szCs w:val="28"/>
          <w:vertAlign w:val="superscript"/>
          <w:lang w:val="en-GB"/>
        </w:rPr>
        <w:t>th</w:t>
      </w:r>
      <w:r w:rsidRPr="00B047CC">
        <w:rPr>
          <w:rFonts w:ascii="Times New Roman" w:hAnsi="Times New Roman" w:cs="Times New Roman"/>
          <w:bCs/>
          <w:sz w:val="28"/>
          <w:szCs w:val="28"/>
          <w:lang w:val="en-GB"/>
        </w:rPr>
        <w:t xml:space="preserve"> Plenary Session (Venice, 11-12 March 2016) </w:t>
      </w:r>
      <w:r w:rsidRPr="00B047CC">
        <w:rPr>
          <w:rFonts w:ascii="Times New Roman" w:hAnsi="Times New Roman"/>
          <w:sz w:val="28"/>
          <w:szCs w:val="28"/>
          <w:lang w:val="en-GB"/>
        </w:rPr>
        <w:t>[CDL-</w:t>
      </w:r>
      <w:proofErr w:type="gramStart"/>
      <w:r w:rsidRPr="00B047CC">
        <w:rPr>
          <w:rFonts w:ascii="Times New Roman" w:hAnsi="Times New Roman"/>
          <w:sz w:val="28"/>
          <w:szCs w:val="28"/>
          <w:lang w:val="en-GB"/>
        </w:rPr>
        <w:t>AD(</w:t>
      </w:r>
      <w:proofErr w:type="gramEnd"/>
      <w:r w:rsidRPr="00B047CC">
        <w:rPr>
          <w:rFonts w:ascii="Times New Roman" w:hAnsi="Times New Roman"/>
          <w:sz w:val="28"/>
          <w:szCs w:val="28"/>
          <w:lang w:val="en-GB"/>
        </w:rPr>
        <w:t>2016)007]</w:t>
      </w:r>
      <w:r w:rsidR="00732196" w:rsidRPr="00B047CC">
        <w:rPr>
          <w:rFonts w:ascii="Times New Roman" w:hAnsi="Times New Roman" w:cs="Times New Roman"/>
          <w:bCs/>
          <w:sz w:val="28"/>
          <w:szCs w:val="28"/>
          <w:lang w:val="en-GB"/>
        </w:rPr>
        <w:t>.</w:t>
      </w:r>
    </w:p>
    <w:p w:rsidR="00732196" w:rsidRPr="00B047CC" w:rsidRDefault="00732196" w:rsidP="00732196">
      <w:pPr>
        <w:pStyle w:val="HTML"/>
        <w:ind w:firstLine="851"/>
        <w:jc w:val="both"/>
        <w:rPr>
          <w:rFonts w:ascii="Times New Roman" w:hAnsi="Times New Roman" w:cs="Times New Roman"/>
          <w:sz w:val="28"/>
          <w:szCs w:val="28"/>
          <w:lang w:val="en-GB"/>
        </w:rPr>
      </w:pPr>
    </w:p>
    <w:p w:rsidR="00732196" w:rsidRPr="00B047CC" w:rsidRDefault="00732196" w:rsidP="00732196">
      <w:pPr>
        <w:pStyle w:val="HTML"/>
        <w:ind w:right="-92" w:firstLine="851"/>
        <w:jc w:val="both"/>
        <w:rPr>
          <w:rFonts w:ascii="Times New Roman" w:hAnsi="Times New Roman" w:cs="Times New Roman"/>
          <w:b/>
          <w:bCs/>
          <w:sz w:val="28"/>
          <w:szCs w:val="28"/>
          <w:u w:val="single"/>
          <w:lang w:val="en-GB"/>
        </w:rPr>
      </w:pPr>
      <w:r w:rsidRPr="00B047CC">
        <w:rPr>
          <w:rFonts w:ascii="Times New Roman" w:hAnsi="Times New Roman" w:cs="Times New Roman"/>
          <w:b/>
          <w:bCs/>
          <w:sz w:val="28"/>
          <w:szCs w:val="28"/>
          <w:u w:val="single"/>
          <w:lang w:val="en-GB"/>
        </w:rPr>
        <w:t>Cross-References:</w:t>
      </w:r>
    </w:p>
    <w:p w:rsidR="00732196" w:rsidRPr="00B047CC" w:rsidRDefault="00732196" w:rsidP="00732196">
      <w:pPr>
        <w:pStyle w:val="HTML"/>
        <w:ind w:right="-92" w:firstLine="851"/>
        <w:jc w:val="both"/>
        <w:rPr>
          <w:rFonts w:ascii="Times New Roman" w:hAnsi="Times New Roman" w:cs="Times New Roman"/>
          <w:sz w:val="28"/>
          <w:szCs w:val="28"/>
          <w:lang w:val="en-GB"/>
        </w:rPr>
      </w:pPr>
    </w:p>
    <w:p w:rsidR="00732196" w:rsidRPr="00B047CC" w:rsidRDefault="00732196" w:rsidP="00732196">
      <w:pPr>
        <w:pStyle w:val="HTML"/>
        <w:ind w:right="-92" w:firstLine="851"/>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 xml:space="preserve">Constitutional Court of Ukraine: </w:t>
      </w:r>
    </w:p>
    <w:p w:rsidR="00732196" w:rsidRPr="00B047CC" w:rsidRDefault="00732196" w:rsidP="00732196">
      <w:pPr>
        <w:pStyle w:val="HTML"/>
        <w:ind w:right="-92" w:firstLine="851"/>
        <w:jc w:val="both"/>
        <w:rPr>
          <w:rFonts w:ascii="Times New Roman" w:hAnsi="Times New Roman" w:cs="Times New Roman"/>
          <w:sz w:val="28"/>
          <w:szCs w:val="28"/>
          <w:lang w:val="en-GB"/>
        </w:rPr>
      </w:pP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6-r/2020, 26.03.2020;</w:t>
      </w: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5-r(II)/2020, 18.06.2020;</w:t>
      </w: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9-r(II)/2022, 16.11.2022;</w:t>
      </w: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1-r(II)/2023, 01.03.2023;</w:t>
      </w: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8-r(II)/2023, 13.09.2023;</w:t>
      </w:r>
    </w:p>
    <w:p w:rsidR="00732196" w:rsidRPr="00B047CC" w:rsidRDefault="00732196" w:rsidP="00732196">
      <w:pPr>
        <w:pStyle w:val="HTML"/>
        <w:numPr>
          <w:ilvl w:val="0"/>
          <w:numId w:val="1"/>
        </w:numPr>
        <w:ind w:right="-92"/>
        <w:jc w:val="both"/>
        <w:rPr>
          <w:rFonts w:ascii="Times New Roman" w:hAnsi="Times New Roman" w:cs="Times New Roman"/>
          <w:sz w:val="28"/>
          <w:szCs w:val="28"/>
          <w:lang w:val="en-GB"/>
        </w:rPr>
      </w:pPr>
      <w:r w:rsidRPr="00B047CC">
        <w:rPr>
          <w:rFonts w:ascii="Times New Roman" w:hAnsi="Times New Roman" w:cs="Times New Roman"/>
          <w:sz w:val="28"/>
          <w:szCs w:val="28"/>
          <w:lang w:val="en-GB"/>
        </w:rPr>
        <w:t>no. 9-</w:t>
      </w:r>
      <w:proofErr w:type="gramStart"/>
      <w:r w:rsidRPr="00B047CC">
        <w:rPr>
          <w:rFonts w:ascii="Times New Roman" w:hAnsi="Times New Roman" w:cs="Times New Roman"/>
          <w:sz w:val="28"/>
          <w:szCs w:val="28"/>
          <w:lang w:val="en-GB"/>
        </w:rPr>
        <w:t>r(</w:t>
      </w:r>
      <w:proofErr w:type="gramEnd"/>
      <w:r w:rsidRPr="00B047CC">
        <w:rPr>
          <w:rFonts w:ascii="Times New Roman" w:hAnsi="Times New Roman" w:cs="Times New Roman"/>
          <w:sz w:val="28"/>
          <w:szCs w:val="28"/>
          <w:lang w:val="en-GB"/>
        </w:rPr>
        <w:t>I)/2024, 02.10.2024.</w:t>
      </w:r>
      <w:bookmarkStart w:id="0" w:name="_GoBack"/>
      <w:bookmarkEnd w:id="0"/>
    </w:p>
    <w:p w:rsidR="00732196" w:rsidRPr="00B047CC" w:rsidRDefault="00732196" w:rsidP="00732196">
      <w:pPr>
        <w:pStyle w:val="HTML"/>
        <w:ind w:right="-92" w:firstLine="851"/>
        <w:jc w:val="both"/>
        <w:rPr>
          <w:rFonts w:ascii="Times New Roman" w:hAnsi="Times New Roman"/>
          <w:sz w:val="28"/>
          <w:szCs w:val="28"/>
          <w:lang w:val="en-GB"/>
        </w:rPr>
      </w:pPr>
    </w:p>
    <w:p w:rsidR="00732196" w:rsidRPr="00B047CC" w:rsidRDefault="00732196" w:rsidP="00732196">
      <w:pPr>
        <w:pStyle w:val="HTML"/>
        <w:ind w:right="-92" w:firstLine="851"/>
        <w:jc w:val="both"/>
        <w:rPr>
          <w:rFonts w:ascii="Times New Roman" w:hAnsi="Times New Roman"/>
          <w:sz w:val="28"/>
          <w:szCs w:val="28"/>
          <w:lang w:val="en-GB"/>
        </w:rPr>
      </w:pPr>
      <w:r w:rsidRPr="00B047CC">
        <w:rPr>
          <w:rFonts w:ascii="Times New Roman" w:hAnsi="Times New Roman"/>
          <w:sz w:val="28"/>
          <w:szCs w:val="28"/>
          <w:lang w:val="en-GB"/>
        </w:rPr>
        <w:t>European Court of Human Rights:</w:t>
      </w:r>
    </w:p>
    <w:p w:rsidR="00732196" w:rsidRPr="00B047CC" w:rsidRDefault="00732196" w:rsidP="00732196">
      <w:pPr>
        <w:pStyle w:val="HTML"/>
        <w:ind w:right="-92" w:firstLine="851"/>
        <w:jc w:val="both"/>
        <w:rPr>
          <w:rFonts w:ascii="Times New Roman" w:hAnsi="Times New Roman"/>
          <w:sz w:val="28"/>
          <w:szCs w:val="28"/>
          <w:lang w:val="en-GB"/>
        </w:rPr>
      </w:pPr>
    </w:p>
    <w:p w:rsidR="00732196" w:rsidRPr="00B047CC" w:rsidRDefault="00732196" w:rsidP="00732196">
      <w:pPr>
        <w:pStyle w:val="a3"/>
        <w:numPr>
          <w:ilvl w:val="0"/>
          <w:numId w:val="1"/>
        </w:numPr>
        <w:ind w:right="-92"/>
        <w:jc w:val="both"/>
        <w:rPr>
          <w:sz w:val="28"/>
          <w:szCs w:val="28"/>
          <w:lang w:val="en-GB"/>
        </w:rPr>
      </w:pPr>
      <w:proofErr w:type="spellStart"/>
      <w:r w:rsidRPr="00B047CC">
        <w:rPr>
          <w:i/>
          <w:iCs/>
          <w:sz w:val="28"/>
          <w:szCs w:val="28"/>
          <w:lang w:val="en-GB"/>
        </w:rPr>
        <w:t>Stoianoglo</w:t>
      </w:r>
      <w:proofErr w:type="spellEnd"/>
      <w:r w:rsidRPr="00B047CC">
        <w:rPr>
          <w:i/>
          <w:iCs/>
          <w:sz w:val="28"/>
          <w:szCs w:val="28"/>
          <w:lang w:val="en-GB"/>
        </w:rPr>
        <w:t xml:space="preserve"> v. the Republic of Moldova</w:t>
      </w:r>
      <w:r w:rsidRPr="00B047CC">
        <w:rPr>
          <w:sz w:val="28"/>
          <w:szCs w:val="28"/>
          <w:lang w:val="en-GB"/>
        </w:rPr>
        <w:t>, no. 19371/22</w:t>
      </w:r>
      <w:r w:rsidRPr="00B047CC">
        <w:rPr>
          <w:rFonts w:asciiTheme="majorBidi" w:hAnsiTheme="majorBidi" w:cstheme="majorBidi"/>
          <w:sz w:val="28"/>
          <w:szCs w:val="28"/>
          <w:lang w:val="en-GB"/>
        </w:rPr>
        <w:t>,</w:t>
      </w:r>
      <w:r w:rsidRPr="00B047CC">
        <w:rPr>
          <w:sz w:val="28"/>
          <w:szCs w:val="28"/>
          <w:lang w:val="en-GB"/>
        </w:rPr>
        <w:t xml:space="preserve"> 24.10.2023.</w:t>
      </w:r>
    </w:p>
    <w:p w:rsidR="00732196" w:rsidRPr="00C072C7" w:rsidRDefault="00732196" w:rsidP="00732196">
      <w:pPr>
        <w:rPr>
          <w:lang w:val="en-GB"/>
        </w:rPr>
      </w:pPr>
    </w:p>
    <w:p w:rsidR="00827DF8" w:rsidRPr="00C072C7" w:rsidRDefault="00827DF8">
      <w:pPr>
        <w:rPr>
          <w:lang w:val="en-GB"/>
        </w:rPr>
      </w:pPr>
    </w:p>
    <w:sectPr w:rsidR="00827DF8" w:rsidRPr="00C072C7" w:rsidSect="002F3166">
      <w:headerReference w:type="default" r:id="rId7"/>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34" w:rsidRDefault="00C31736">
      <w:r>
        <w:separator/>
      </w:r>
    </w:p>
  </w:endnote>
  <w:endnote w:type="continuationSeparator" w:id="0">
    <w:p w:rsidR="00DE4734" w:rsidRDefault="00C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34" w:rsidRDefault="00C31736">
      <w:r>
        <w:separator/>
      </w:r>
    </w:p>
  </w:footnote>
  <w:footnote w:type="continuationSeparator" w:id="0">
    <w:p w:rsidR="00DE4734" w:rsidRDefault="00C3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E765BF">
        <w:pPr>
          <w:pStyle w:val="a4"/>
          <w:jc w:val="right"/>
        </w:pPr>
        <w:r>
          <w:fldChar w:fldCharType="begin"/>
        </w:r>
        <w:r>
          <w:instrText>PAGE   \* MERGEFORMAT</w:instrText>
        </w:r>
        <w:r>
          <w:fldChar w:fldCharType="separate"/>
        </w:r>
        <w:r w:rsidR="00B047CC">
          <w:rPr>
            <w:noProof/>
          </w:rPr>
          <w:t>4</w:t>
        </w:r>
        <w:r>
          <w:fldChar w:fldCharType="end"/>
        </w:r>
      </w:p>
    </w:sdtContent>
  </w:sdt>
  <w:p w:rsidR="0036774E" w:rsidRDefault="00B047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24"/>
    <w:rsid w:val="000D0D7E"/>
    <w:rsid w:val="0011290D"/>
    <w:rsid w:val="002C7E13"/>
    <w:rsid w:val="003518BC"/>
    <w:rsid w:val="003F5EBA"/>
    <w:rsid w:val="004516E6"/>
    <w:rsid w:val="00575D4F"/>
    <w:rsid w:val="006750C0"/>
    <w:rsid w:val="00732196"/>
    <w:rsid w:val="00772324"/>
    <w:rsid w:val="00827DF8"/>
    <w:rsid w:val="00943CE1"/>
    <w:rsid w:val="00B047CC"/>
    <w:rsid w:val="00B3168A"/>
    <w:rsid w:val="00B669DA"/>
    <w:rsid w:val="00BF1177"/>
    <w:rsid w:val="00C072C7"/>
    <w:rsid w:val="00C31736"/>
    <w:rsid w:val="00D0795E"/>
    <w:rsid w:val="00DE4734"/>
    <w:rsid w:val="00E765BF"/>
    <w:rsid w:val="00E80B24"/>
    <w:rsid w:val="00E93B1E"/>
    <w:rsid w:val="00EC55A7"/>
    <w:rsid w:val="00EF1EEF"/>
    <w:rsid w:val="00F561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74E1"/>
  <w15:chartTrackingRefBased/>
  <w15:docId w15:val="{4F4D618E-67B9-48AF-B68B-6774C4C5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96"/>
    <w:pPr>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3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732196"/>
    <w:rPr>
      <w:rFonts w:ascii="Courier New" w:eastAsia="Times New Roman" w:hAnsi="Courier New" w:cs="Courier New"/>
      <w:sz w:val="24"/>
      <w:szCs w:val="24"/>
      <w:lang w:eastAsia="uk-UA"/>
    </w:rPr>
  </w:style>
  <w:style w:type="paragraph" w:styleId="a3">
    <w:name w:val="List Paragraph"/>
    <w:basedOn w:val="a"/>
    <w:uiPriority w:val="34"/>
    <w:qFormat/>
    <w:rsid w:val="00732196"/>
    <w:pPr>
      <w:ind w:left="720"/>
      <w:contextualSpacing/>
    </w:pPr>
  </w:style>
  <w:style w:type="paragraph" w:styleId="a4">
    <w:name w:val="header"/>
    <w:basedOn w:val="a"/>
    <w:link w:val="a5"/>
    <w:uiPriority w:val="99"/>
    <w:unhideWhenUsed/>
    <w:rsid w:val="00732196"/>
    <w:pPr>
      <w:tabs>
        <w:tab w:val="center" w:pos="4677"/>
        <w:tab w:val="right" w:pos="9355"/>
      </w:tabs>
    </w:pPr>
  </w:style>
  <w:style w:type="character" w:customStyle="1" w:styleId="a5">
    <w:name w:val="Верхній колонтитул Знак"/>
    <w:basedOn w:val="a0"/>
    <w:link w:val="a4"/>
    <w:uiPriority w:val="99"/>
    <w:rsid w:val="00732196"/>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9878">
      <w:bodyDiv w:val="1"/>
      <w:marLeft w:val="0"/>
      <w:marRight w:val="0"/>
      <w:marTop w:val="0"/>
      <w:marBottom w:val="0"/>
      <w:divBdr>
        <w:top w:val="none" w:sz="0" w:space="0" w:color="auto"/>
        <w:left w:val="none" w:sz="0" w:space="0" w:color="auto"/>
        <w:bottom w:val="none" w:sz="0" w:space="0" w:color="auto"/>
        <w:right w:val="none" w:sz="0" w:space="0" w:color="auto"/>
      </w:divBdr>
    </w:div>
    <w:div w:id="351953607">
      <w:bodyDiv w:val="1"/>
      <w:marLeft w:val="0"/>
      <w:marRight w:val="0"/>
      <w:marTop w:val="0"/>
      <w:marBottom w:val="0"/>
      <w:divBdr>
        <w:top w:val="none" w:sz="0" w:space="0" w:color="auto"/>
        <w:left w:val="none" w:sz="0" w:space="0" w:color="auto"/>
        <w:bottom w:val="none" w:sz="0" w:space="0" w:color="auto"/>
        <w:right w:val="none" w:sz="0" w:space="0" w:color="auto"/>
      </w:divBdr>
    </w:div>
    <w:div w:id="557712864">
      <w:bodyDiv w:val="1"/>
      <w:marLeft w:val="0"/>
      <w:marRight w:val="0"/>
      <w:marTop w:val="0"/>
      <w:marBottom w:val="0"/>
      <w:divBdr>
        <w:top w:val="none" w:sz="0" w:space="0" w:color="auto"/>
        <w:left w:val="none" w:sz="0" w:space="0" w:color="auto"/>
        <w:bottom w:val="none" w:sz="0" w:space="0" w:color="auto"/>
        <w:right w:val="none" w:sz="0" w:space="0" w:color="auto"/>
      </w:divBdr>
    </w:div>
    <w:div w:id="721058793">
      <w:bodyDiv w:val="1"/>
      <w:marLeft w:val="0"/>
      <w:marRight w:val="0"/>
      <w:marTop w:val="0"/>
      <w:marBottom w:val="0"/>
      <w:divBdr>
        <w:top w:val="none" w:sz="0" w:space="0" w:color="auto"/>
        <w:left w:val="none" w:sz="0" w:space="0" w:color="auto"/>
        <w:bottom w:val="none" w:sz="0" w:space="0" w:color="auto"/>
        <w:right w:val="none" w:sz="0" w:space="0" w:color="auto"/>
      </w:divBdr>
    </w:div>
    <w:div w:id="821821769">
      <w:bodyDiv w:val="1"/>
      <w:marLeft w:val="0"/>
      <w:marRight w:val="0"/>
      <w:marTop w:val="0"/>
      <w:marBottom w:val="0"/>
      <w:divBdr>
        <w:top w:val="none" w:sz="0" w:space="0" w:color="auto"/>
        <w:left w:val="none" w:sz="0" w:space="0" w:color="auto"/>
        <w:bottom w:val="none" w:sz="0" w:space="0" w:color="auto"/>
        <w:right w:val="none" w:sz="0" w:space="0" w:color="auto"/>
      </w:divBdr>
    </w:div>
    <w:div w:id="867066425">
      <w:bodyDiv w:val="1"/>
      <w:marLeft w:val="0"/>
      <w:marRight w:val="0"/>
      <w:marTop w:val="0"/>
      <w:marBottom w:val="0"/>
      <w:divBdr>
        <w:top w:val="none" w:sz="0" w:space="0" w:color="auto"/>
        <w:left w:val="none" w:sz="0" w:space="0" w:color="auto"/>
        <w:bottom w:val="none" w:sz="0" w:space="0" w:color="auto"/>
        <w:right w:val="none" w:sz="0" w:space="0" w:color="auto"/>
      </w:divBdr>
    </w:div>
    <w:div w:id="973560161">
      <w:bodyDiv w:val="1"/>
      <w:marLeft w:val="0"/>
      <w:marRight w:val="0"/>
      <w:marTop w:val="0"/>
      <w:marBottom w:val="0"/>
      <w:divBdr>
        <w:top w:val="none" w:sz="0" w:space="0" w:color="auto"/>
        <w:left w:val="none" w:sz="0" w:space="0" w:color="auto"/>
        <w:bottom w:val="none" w:sz="0" w:space="0" w:color="auto"/>
        <w:right w:val="none" w:sz="0" w:space="0" w:color="auto"/>
      </w:divBdr>
    </w:div>
    <w:div w:id="9907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1450</Words>
  <Characters>8271</Characters>
  <Application>Microsoft Office Word</Application>
  <DocSecurity>0</DocSecurity>
  <Lines>68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Невідомський</dc:creator>
  <cp:keywords/>
  <dc:description/>
  <cp:lastModifiedBy>Ірина В. Васильченко</cp:lastModifiedBy>
  <cp:revision>20</cp:revision>
  <dcterms:created xsi:type="dcterms:W3CDTF">2024-12-23T06:21:00Z</dcterms:created>
  <dcterms:modified xsi:type="dcterms:W3CDTF">2024-12-24T12:09:00Z</dcterms:modified>
</cp:coreProperties>
</file>