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3B3292" w:rsidRDefault="003B3292" w:rsidP="003B3292">
      <w:pPr>
        <w:pStyle w:val="aa"/>
        <w:ind w:left="0" w:right="0"/>
        <w:rPr>
          <w:rFonts w:cs="Times New Roman"/>
          <w:szCs w:val="28"/>
        </w:rPr>
      </w:pPr>
    </w:p>
    <w:p w:rsidR="00DA6140" w:rsidRPr="003B3292" w:rsidRDefault="00F805CD" w:rsidP="003B3292">
      <w:pPr>
        <w:pStyle w:val="aa"/>
        <w:tabs>
          <w:tab w:val="center" w:pos="4820"/>
        </w:tabs>
        <w:ind w:left="0" w:right="0"/>
        <w:rPr>
          <w:rFonts w:cs="Times New Roman"/>
          <w:b w:val="0"/>
          <w:szCs w:val="28"/>
        </w:rPr>
      </w:pPr>
      <w:r w:rsidRPr="003B3292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700EF0" w:rsidRPr="003B3292">
        <w:rPr>
          <w:rFonts w:cs="Times New Roman"/>
          <w:szCs w:val="28"/>
        </w:rPr>
        <w:t>Підопригори</w:t>
      </w:r>
      <w:r w:rsidR="005766C7" w:rsidRPr="003B3292">
        <w:rPr>
          <w:rFonts w:cs="Times New Roman"/>
          <w:szCs w:val="28"/>
        </w:rPr>
        <w:t xml:space="preserve"> </w:t>
      </w:r>
      <w:r w:rsidR="00700EF0" w:rsidRPr="003B3292">
        <w:rPr>
          <w:rFonts w:cs="Times New Roman"/>
          <w:szCs w:val="28"/>
        </w:rPr>
        <w:t>Віталія</w:t>
      </w:r>
      <w:r w:rsidR="005766C7" w:rsidRPr="003B3292">
        <w:rPr>
          <w:rFonts w:cs="Times New Roman"/>
          <w:szCs w:val="28"/>
        </w:rPr>
        <w:t xml:space="preserve"> </w:t>
      </w:r>
      <w:r w:rsidR="00700EF0" w:rsidRPr="003B3292">
        <w:rPr>
          <w:rFonts w:cs="Times New Roman"/>
          <w:szCs w:val="28"/>
        </w:rPr>
        <w:t>Павловича</w:t>
      </w:r>
      <w:r w:rsidR="005766C7" w:rsidRPr="003B3292">
        <w:rPr>
          <w:rFonts w:cs="Times New Roman"/>
          <w:szCs w:val="28"/>
        </w:rPr>
        <w:t xml:space="preserve"> щодо відповідності Конституції України (конституційності) </w:t>
      </w:r>
      <w:r w:rsidR="002F3EA5" w:rsidRPr="003B3292">
        <w:rPr>
          <w:rFonts w:cs="Times New Roman"/>
          <w:szCs w:val="28"/>
        </w:rPr>
        <w:t>приписів</w:t>
      </w:r>
      <w:r w:rsidR="00700EF0" w:rsidRPr="003B3292">
        <w:rPr>
          <w:rFonts w:cs="Times New Roman"/>
          <w:szCs w:val="28"/>
        </w:rPr>
        <w:t xml:space="preserve"> статті 256, </w:t>
      </w:r>
      <w:r w:rsidR="00700EF0" w:rsidRPr="003B3292">
        <w:rPr>
          <w:rFonts w:cs="Times New Roman"/>
          <w:szCs w:val="28"/>
        </w:rPr>
        <w:br/>
        <w:t>частини четвертої статті 267 Цивільного кодексу України</w:t>
      </w:r>
      <w:r w:rsidR="005766C7" w:rsidRPr="003B3292">
        <w:rPr>
          <w:rFonts w:cs="Times New Roman"/>
          <w:szCs w:val="28"/>
        </w:rPr>
        <w:t xml:space="preserve"> </w:t>
      </w:r>
      <w:r w:rsidR="00204D3C" w:rsidRPr="003B3292">
        <w:rPr>
          <w:rFonts w:cs="Times New Roman"/>
          <w:szCs w:val="28"/>
        </w:rPr>
        <w:t xml:space="preserve">у системному зв’язку з приписами пункту 4 частини першої статті 268 Цивільного кодексу України в редакції до </w:t>
      </w:r>
      <w:r w:rsidR="00A170FB" w:rsidRPr="003B3292">
        <w:rPr>
          <w:rFonts w:cs="Times New Roman"/>
          <w:szCs w:val="28"/>
        </w:rPr>
        <w:t xml:space="preserve">внесення змін </w:t>
      </w:r>
      <w:r w:rsidR="00204D3C" w:rsidRPr="003B3292">
        <w:rPr>
          <w:rFonts w:cs="Times New Roman"/>
          <w:szCs w:val="28"/>
        </w:rPr>
        <w:t>Законом України</w:t>
      </w:r>
      <w:r w:rsidR="008A3873">
        <w:rPr>
          <w:rFonts w:cs="Times New Roman"/>
          <w:szCs w:val="28"/>
        </w:rPr>
        <w:t xml:space="preserve"> </w:t>
      </w:r>
      <w:r w:rsidR="00204D3C" w:rsidRPr="003B3292">
        <w:rPr>
          <w:rFonts w:cs="Times New Roman"/>
          <w:szCs w:val="28"/>
        </w:rPr>
        <w:t xml:space="preserve">„Про внесення змін до деяких законів України щодо вдосконалення порядку здійснення </w:t>
      </w:r>
      <w:r w:rsidR="003B3292">
        <w:rPr>
          <w:rFonts w:cs="Times New Roman"/>
          <w:szCs w:val="28"/>
        </w:rPr>
        <w:br/>
      </w:r>
      <w:r w:rsidR="003B3292">
        <w:rPr>
          <w:rFonts w:cs="Times New Roman"/>
          <w:szCs w:val="28"/>
        </w:rPr>
        <w:tab/>
      </w:r>
      <w:r w:rsidR="00204D3C" w:rsidRPr="003B3292">
        <w:rPr>
          <w:rFonts w:cs="Times New Roman"/>
          <w:szCs w:val="28"/>
        </w:rPr>
        <w:t>судочинства</w:t>
      </w:r>
      <w:r w:rsidR="00F329EB" w:rsidRPr="003B3292">
        <w:rPr>
          <w:rFonts w:cs="Times New Roman"/>
          <w:szCs w:val="28"/>
        </w:rPr>
        <w:t>“</w:t>
      </w:r>
    </w:p>
    <w:p w:rsidR="00DA6140" w:rsidRPr="003B3292" w:rsidRDefault="00DA6140" w:rsidP="003B32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873" w:rsidRDefault="00DA6140" w:rsidP="003B3292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="003B32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8A38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700EF0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13/2023(24/23</w:t>
      </w:r>
      <w:r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3B3292" w:rsidRDefault="00480A00" w:rsidP="003B32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 </w:t>
      </w:r>
      <w:r w:rsidR="00700EF0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лютого</w:t>
      </w:r>
      <w:r w:rsidR="008D6098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3B3292" w:rsidRDefault="008A3873" w:rsidP="003B32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901B72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8D6098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3B3292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3B3292" w:rsidRDefault="00DA6140" w:rsidP="003B3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B3292" w:rsidRDefault="00DA6140" w:rsidP="003B3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3B3292" w:rsidRDefault="00DA6140" w:rsidP="003B3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B3292" w:rsidRDefault="00DA6140" w:rsidP="003B3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3B3292" w:rsidRDefault="00DA6140" w:rsidP="003B3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3B3292" w:rsidRDefault="00DA6140" w:rsidP="003B3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3B3292" w:rsidRDefault="00DA6140" w:rsidP="003B3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B3292" w:rsidRDefault="00DA6140" w:rsidP="003B3292">
      <w:pPr>
        <w:pStyle w:val="20"/>
        <w:spacing w:after="0" w:line="360" w:lineRule="auto"/>
        <w:ind w:firstLine="567"/>
        <w:jc w:val="both"/>
      </w:pPr>
      <w:r w:rsidRPr="003B3292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00EF0" w:rsidRPr="003B3292">
        <w:t xml:space="preserve">Підопригори Віталія Павловича щодо відповідності Конституції України (конституційності) </w:t>
      </w:r>
      <w:r w:rsidR="002F3EA5" w:rsidRPr="003B3292">
        <w:t xml:space="preserve">приписів </w:t>
      </w:r>
      <w:r w:rsidR="00700EF0" w:rsidRPr="003B3292">
        <w:t>статті 256, частини четвертої статті 267</w:t>
      </w:r>
      <w:r w:rsidR="009864A2" w:rsidRPr="003B3292">
        <w:t xml:space="preserve"> Цивільного кодексу України</w:t>
      </w:r>
      <w:r w:rsidR="00204D3C" w:rsidRPr="003B3292">
        <w:t xml:space="preserve"> </w:t>
      </w:r>
      <w:r w:rsidR="00204D3C" w:rsidRPr="003B3292">
        <w:br/>
        <w:t>у системному зв’язку з приписами пункту 4 части</w:t>
      </w:r>
      <w:r w:rsidR="001E7ABE" w:rsidRPr="003B3292">
        <w:t xml:space="preserve">ни першої статті 268 </w:t>
      </w:r>
      <w:r w:rsidR="00FA5007" w:rsidRPr="003B3292">
        <w:t xml:space="preserve">Цивільного кодексу України </w:t>
      </w:r>
      <w:r w:rsidR="00204D3C" w:rsidRPr="003B3292">
        <w:t>в редакції до</w:t>
      </w:r>
      <w:r w:rsidR="00A170FB" w:rsidRPr="003B3292">
        <w:t xml:space="preserve"> внесення змін</w:t>
      </w:r>
      <w:r w:rsidR="00204D3C" w:rsidRPr="003B3292">
        <w:t xml:space="preserve"> Законом України</w:t>
      </w:r>
      <w:r w:rsidR="008A3873">
        <w:t xml:space="preserve"> </w:t>
      </w:r>
      <w:r w:rsidR="00204D3C" w:rsidRPr="003B3292">
        <w:t>„Про внесення змін до деяких законів України щодо вдосконалення порядку здійснення судочинства“ ві</w:t>
      </w:r>
      <w:r w:rsidR="00FA5007" w:rsidRPr="003B3292">
        <w:t xml:space="preserve">д 20 грудня 2011 року </w:t>
      </w:r>
      <w:r w:rsidR="008A3873">
        <w:t xml:space="preserve">№ </w:t>
      </w:r>
      <w:r w:rsidR="00FA5007" w:rsidRPr="003B3292">
        <w:t>4176–VI.</w:t>
      </w:r>
    </w:p>
    <w:p w:rsidR="00575615" w:rsidRPr="003B3292" w:rsidRDefault="00575615" w:rsidP="003B3292">
      <w:pPr>
        <w:pStyle w:val="aa"/>
        <w:widowControl/>
        <w:spacing w:line="360" w:lineRule="auto"/>
        <w:ind w:left="0" w:right="0" w:firstLine="567"/>
        <w:rPr>
          <w:rFonts w:eastAsia="Times New Roman" w:cs="Times New Roman"/>
          <w:b w:val="0"/>
          <w:szCs w:val="28"/>
        </w:rPr>
      </w:pPr>
    </w:p>
    <w:p w:rsidR="00DA6140" w:rsidRPr="003B3292" w:rsidRDefault="00DA6140" w:rsidP="003B32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3B2261" w:rsidRPr="003B3292" w:rsidRDefault="003B2261" w:rsidP="003B3292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3B3292" w:rsidRDefault="00DA6140" w:rsidP="003B329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 с т а н о в и л а:</w:t>
      </w:r>
    </w:p>
    <w:p w:rsidR="00DA6140" w:rsidRPr="003B3292" w:rsidRDefault="00DA6140" w:rsidP="003B329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00D" w:rsidRPr="003B3292" w:rsidRDefault="003B3292" w:rsidP="003B3292">
      <w:pPr>
        <w:pStyle w:val="20"/>
        <w:spacing w:after="0" w:line="360" w:lineRule="auto"/>
        <w:ind w:firstLine="567"/>
        <w:jc w:val="both"/>
      </w:pPr>
      <w:r>
        <w:t xml:space="preserve">1. </w:t>
      </w:r>
      <w:r w:rsidR="00700EF0" w:rsidRPr="003B3292">
        <w:t>Підопригора В.П.</w:t>
      </w:r>
      <w:r w:rsidR="00F805CD" w:rsidRPr="003B3292">
        <w:t xml:space="preserve"> звернувся до Конституційного Суду України з клопотанням визнати таким</w:t>
      </w:r>
      <w:r w:rsidR="00730B59" w:rsidRPr="003B3292">
        <w:t>и, що не відповідають</w:t>
      </w:r>
      <w:r w:rsidR="00F805CD" w:rsidRPr="003B3292">
        <w:t xml:space="preserve"> </w:t>
      </w:r>
      <w:r w:rsidR="00700EF0" w:rsidRPr="003B3292">
        <w:t xml:space="preserve">частині першій </w:t>
      </w:r>
      <w:r w:rsidR="00FD25FC" w:rsidRPr="003B3292">
        <w:t xml:space="preserve">статті </w:t>
      </w:r>
      <w:r w:rsidR="00700EF0" w:rsidRPr="003B3292">
        <w:t xml:space="preserve">58 </w:t>
      </w:r>
      <w:r w:rsidR="00F805CD" w:rsidRPr="003B3292">
        <w:t>Конституці</w:t>
      </w:r>
      <w:r w:rsidR="00B57B34" w:rsidRPr="003B3292">
        <w:t>ї України</w:t>
      </w:r>
      <w:r w:rsidR="007C19BE" w:rsidRPr="003B3292">
        <w:t xml:space="preserve"> </w:t>
      </w:r>
      <w:r w:rsidR="00B616A9" w:rsidRPr="003B3292">
        <w:t>(є неконституційним</w:t>
      </w:r>
      <w:r w:rsidR="00730B59" w:rsidRPr="003B3292">
        <w:t>и</w:t>
      </w:r>
      <w:r w:rsidR="0012700D" w:rsidRPr="003B3292">
        <w:t>)</w:t>
      </w:r>
      <w:r w:rsidR="009D1251">
        <w:t>,</w:t>
      </w:r>
      <w:r w:rsidR="00B616A9" w:rsidRPr="003B3292">
        <w:t xml:space="preserve"> </w:t>
      </w:r>
      <w:r w:rsidR="002F3EA5" w:rsidRPr="003B3292">
        <w:t>приписи</w:t>
      </w:r>
      <w:r w:rsidR="0012700D" w:rsidRPr="003B3292">
        <w:t xml:space="preserve"> статті 256,</w:t>
      </w:r>
      <w:r>
        <w:br/>
      </w:r>
      <w:r w:rsidR="0012700D" w:rsidRPr="003B3292">
        <w:t>частини четвертої статті 267</w:t>
      </w:r>
      <w:r w:rsidR="00FA5007" w:rsidRPr="003B3292">
        <w:t xml:space="preserve"> Цивільного кодексу України (далі – Кодекс)</w:t>
      </w:r>
      <w:r w:rsidR="0012700D" w:rsidRPr="003B3292">
        <w:t xml:space="preserve"> у системному зв’язку з приписами пункту 4 частини першої статті 268 </w:t>
      </w:r>
      <w:r w:rsidR="001E7ABE" w:rsidRPr="003B3292">
        <w:t>Кодексу</w:t>
      </w:r>
      <w:r w:rsidR="0012700D" w:rsidRPr="003B3292">
        <w:t xml:space="preserve"> в редакції до </w:t>
      </w:r>
      <w:r w:rsidR="006428B6" w:rsidRPr="003B3292">
        <w:t>внесення змін</w:t>
      </w:r>
      <w:r w:rsidR="0012700D" w:rsidRPr="003B3292">
        <w:t xml:space="preserve"> Законом України </w:t>
      </w:r>
      <w:r w:rsidR="0012700D" w:rsidRPr="003B3292">
        <w:rPr>
          <w:color w:val="000000"/>
          <w:lang w:eastAsia="ru-RU"/>
        </w:rPr>
        <w:t>„</w:t>
      </w:r>
      <w:r w:rsidR="0012700D" w:rsidRPr="003B3292">
        <w:t>Про внесення змін до деяких законів України щодо вдосконалення порядку здійснення судочинства</w:t>
      </w:r>
      <w:r w:rsidR="0012700D" w:rsidRPr="003B3292">
        <w:rPr>
          <w:color w:val="000000"/>
          <w:lang w:eastAsia="ru-RU"/>
        </w:rPr>
        <w:t xml:space="preserve">“ від 20 грудня 2011 року </w:t>
      </w:r>
      <w:r w:rsidR="008A3873">
        <w:rPr>
          <w:color w:val="000000"/>
          <w:lang w:eastAsia="ru-RU"/>
        </w:rPr>
        <w:t xml:space="preserve">№ </w:t>
      </w:r>
      <w:r w:rsidR="0012700D" w:rsidRPr="003B3292">
        <w:rPr>
          <w:color w:val="000000"/>
          <w:lang w:eastAsia="ru-RU"/>
        </w:rPr>
        <w:t>4176–</w:t>
      </w:r>
      <w:r w:rsidR="0012700D" w:rsidRPr="003B3292">
        <w:rPr>
          <w:lang w:val="en-US"/>
        </w:rPr>
        <w:t>VI</w:t>
      </w:r>
      <w:r w:rsidR="00F2352F" w:rsidRPr="003B3292">
        <w:t xml:space="preserve"> (далі – </w:t>
      </w:r>
      <w:r w:rsidR="00FA5007" w:rsidRPr="003B3292">
        <w:t>З</w:t>
      </w:r>
      <w:r w:rsidR="00F2352F" w:rsidRPr="003B3292">
        <w:t>ак</w:t>
      </w:r>
      <w:r w:rsidR="001E7ABE" w:rsidRPr="003B3292">
        <w:t xml:space="preserve">он </w:t>
      </w:r>
      <w:r w:rsidR="008A3873">
        <w:rPr>
          <w:color w:val="000000"/>
          <w:lang w:eastAsia="ru-RU"/>
        </w:rPr>
        <w:t xml:space="preserve">№ </w:t>
      </w:r>
      <w:r w:rsidR="00F2352F" w:rsidRPr="003B3292">
        <w:rPr>
          <w:color w:val="000000"/>
          <w:lang w:eastAsia="ru-RU"/>
        </w:rPr>
        <w:t>4176)</w:t>
      </w:r>
      <w:r w:rsidR="0012700D" w:rsidRPr="003B3292">
        <w:t>.</w:t>
      </w:r>
    </w:p>
    <w:p w:rsidR="008A3873" w:rsidRDefault="00F2352F" w:rsidP="003B329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3292">
        <w:rPr>
          <w:sz w:val="28"/>
          <w:szCs w:val="28"/>
          <w:shd w:val="clear" w:color="auto" w:fill="FFFFFF"/>
        </w:rPr>
        <w:t>П</w:t>
      </w:r>
      <w:r w:rsidR="0012700D" w:rsidRPr="003B3292">
        <w:rPr>
          <w:sz w:val="28"/>
          <w:szCs w:val="28"/>
          <w:shd w:val="clear" w:color="auto" w:fill="FFFFFF"/>
        </w:rPr>
        <w:t>озовна давність – це строк, у межах якого особа може звернутися до суду з вимогою про захист свого цивільного права або інтересу</w:t>
      </w:r>
      <w:r w:rsidRPr="003B3292">
        <w:rPr>
          <w:sz w:val="28"/>
          <w:szCs w:val="28"/>
        </w:rPr>
        <w:t xml:space="preserve"> (стаття 256 Кодексу)</w:t>
      </w:r>
      <w:r w:rsidR="0012700D" w:rsidRPr="003B3292">
        <w:rPr>
          <w:sz w:val="28"/>
          <w:szCs w:val="28"/>
          <w:shd w:val="clear" w:color="auto" w:fill="FFFFFF"/>
        </w:rPr>
        <w:t xml:space="preserve">. </w:t>
      </w:r>
      <w:r w:rsidRPr="003B3292">
        <w:rPr>
          <w:sz w:val="28"/>
          <w:szCs w:val="28"/>
          <w:shd w:val="clear" w:color="auto" w:fill="FFFFFF"/>
        </w:rPr>
        <w:t>С</w:t>
      </w:r>
      <w:r w:rsidR="0012700D" w:rsidRPr="003B3292">
        <w:rPr>
          <w:sz w:val="28"/>
          <w:szCs w:val="28"/>
          <w:shd w:val="clear" w:color="auto" w:fill="FFFFFF"/>
        </w:rPr>
        <w:t>плив позовної давності, про застосування якої заявлено стороною у спорі, є підставою для відмови у позові</w:t>
      </w:r>
      <w:r w:rsidRPr="003B3292">
        <w:rPr>
          <w:sz w:val="28"/>
          <w:szCs w:val="28"/>
        </w:rPr>
        <w:t xml:space="preserve"> (частина четверта статті 267 Кодексу).</w:t>
      </w:r>
    </w:p>
    <w:p w:rsidR="00F2352F" w:rsidRPr="003B3292" w:rsidRDefault="00F2352F" w:rsidP="003B329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3292">
        <w:rPr>
          <w:sz w:val="28"/>
          <w:szCs w:val="28"/>
        </w:rPr>
        <w:t>Позовна давність не поширюється на вимогу власника або іншої особи про визнання незаконним правового</w:t>
      </w:r>
      <w:r w:rsidR="008A3873">
        <w:rPr>
          <w:sz w:val="28"/>
          <w:szCs w:val="28"/>
        </w:rPr>
        <w:t xml:space="preserve"> </w:t>
      </w:r>
      <w:r w:rsidRPr="003B3292">
        <w:rPr>
          <w:sz w:val="28"/>
          <w:szCs w:val="28"/>
        </w:rPr>
        <w:t>акта</w:t>
      </w:r>
      <w:r w:rsidR="008A3873">
        <w:rPr>
          <w:sz w:val="28"/>
          <w:szCs w:val="28"/>
        </w:rPr>
        <w:t xml:space="preserve"> </w:t>
      </w:r>
      <w:r w:rsidRPr="003B3292">
        <w:rPr>
          <w:sz w:val="28"/>
          <w:szCs w:val="28"/>
        </w:rPr>
        <w:t>органу</w:t>
      </w:r>
      <w:r w:rsidR="008A3873">
        <w:rPr>
          <w:sz w:val="28"/>
          <w:szCs w:val="28"/>
        </w:rPr>
        <w:t xml:space="preserve"> </w:t>
      </w:r>
      <w:r w:rsidRPr="003B3292">
        <w:rPr>
          <w:sz w:val="28"/>
          <w:szCs w:val="28"/>
        </w:rPr>
        <w:t>державної влади,</w:t>
      </w:r>
      <w:r w:rsidR="008A3873">
        <w:rPr>
          <w:sz w:val="28"/>
          <w:szCs w:val="28"/>
        </w:rPr>
        <w:t xml:space="preserve"> </w:t>
      </w:r>
      <w:r w:rsidRPr="003B3292">
        <w:rPr>
          <w:sz w:val="28"/>
          <w:szCs w:val="28"/>
        </w:rPr>
        <w:t>органу влади Автономної Республіки Крим або органу місцевого самоврядування, яким порушено його право власності або інше речове право (пункт 4 частин</w:t>
      </w:r>
      <w:r w:rsidR="001E7ABE" w:rsidRPr="003B3292">
        <w:rPr>
          <w:sz w:val="28"/>
          <w:szCs w:val="28"/>
        </w:rPr>
        <w:t>и першої статті 268 К</w:t>
      </w:r>
      <w:r w:rsidR="004017C7" w:rsidRPr="003B3292">
        <w:rPr>
          <w:sz w:val="28"/>
          <w:szCs w:val="28"/>
        </w:rPr>
        <w:t xml:space="preserve">одексу </w:t>
      </w:r>
      <w:r w:rsidRPr="003B3292">
        <w:rPr>
          <w:sz w:val="28"/>
          <w:szCs w:val="28"/>
        </w:rPr>
        <w:t xml:space="preserve">в редакції до </w:t>
      </w:r>
      <w:r w:rsidR="004017C7" w:rsidRPr="003B3292">
        <w:rPr>
          <w:sz w:val="28"/>
          <w:szCs w:val="28"/>
        </w:rPr>
        <w:t xml:space="preserve">внесення змін </w:t>
      </w:r>
      <w:r w:rsidRPr="003B3292">
        <w:rPr>
          <w:sz w:val="28"/>
          <w:szCs w:val="28"/>
        </w:rPr>
        <w:t xml:space="preserve">Законом </w:t>
      </w:r>
      <w:r w:rsidR="008A3873">
        <w:rPr>
          <w:color w:val="000000"/>
          <w:sz w:val="28"/>
          <w:szCs w:val="28"/>
          <w:lang w:eastAsia="ru-RU"/>
        </w:rPr>
        <w:t xml:space="preserve">№ </w:t>
      </w:r>
      <w:r w:rsidRPr="003B3292">
        <w:rPr>
          <w:color w:val="000000"/>
          <w:sz w:val="28"/>
          <w:szCs w:val="28"/>
          <w:lang w:eastAsia="ru-RU"/>
        </w:rPr>
        <w:t>4176).</w:t>
      </w:r>
    </w:p>
    <w:p w:rsidR="00281AD5" w:rsidRPr="003B3292" w:rsidRDefault="008D7449" w:rsidP="003B329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B3292">
        <w:rPr>
          <w:color w:val="000000"/>
          <w:sz w:val="28"/>
          <w:szCs w:val="28"/>
        </w:rPr>
        <w:t>Підопригора В.П. вважає,</w:t>
      </w:r>
      <w:r w:rsidR="00F805CD" w:rsidRPr="003B3292">
        <w:rPr>
          <w:color w:val="000000"/>
          <w:sz w:val="28"/>
          <w:szCs w:val="28"/>
        </w:rPr>
        <w:t xml:space="preserve"> </w:t>
      </w:r>
      <w:r w:rsidR="004017C7" w:rsidRPr="003B3292">
        <w:rPr>
          <w:color w:val="000000"/>
          <w:sz w:val="28"/>
          <w:szCs w:val="28"/>
        </w:rPr>
        <w:t xml:space="preserve">що </w:t>
      </w:r>
      <w:r w:rsidR="00643EDE" w:rsidRPr="003B3292">
        <w:rPr>
          <w:color w:val="000000"/>
          <w:sz w:val="28"/>
          <w:szCs w:val="28"/>
        </w:rPr>
        <w:t>оспорювані приписи Кодексу</w:t>
      </w:r>
      <w:r w:rsidR="002F3EA5" w:rsidRPr="003B3292">
        <w:rPr>
          <w:color w:val="000000"/>
          <w:sz w:val="28"/>
          <w:szCs w:val="28"/>
        </w:rPr>
        <w:t xml:space="preserve">, зокрема </w:t>
      </w:r>
      <w:r w:rsidR="005E0E2B" w:rsidRPr="003B3292">
        <w:rPr>
          <w:color w:val="000000"/>
          <w:sz w:val="28"/>
          <w:szCs w:val="28"/>
        </w:rPr>
        <w:t xml:space="preserve">й </w:t>
      </w:r>
      <w:r w:rsidR="00643EDE" w:rsidRPr="003B3292">
        <w:rPr>
          <w:color w:val="000000"/>
          <w:sz w:val="28"/>
          <w:szCs w:val="28"/>
        </w:rPr>
        <w:br/>
      </w:r>
      <w:r w:rsidR="00643EDE" w:rsidRPr="003B3292">
        <w:rPr>
          <w:sz w:val="28"/>
          <w:szCs w:val="28"/>
        </w:rPr>
        <w:t xml:space="preserve">пункту 4 частини першої </w:t>
      </w:r>
      <w:r w:rsidR="002F3EA5" w:rsidRPr="003B3292">
        <w:rPr>
          <w:color w:val="000000"/>
          <w:sz w:val="28"/>
          <w:szCs w:val="28"/>
        </w:rPr>
        <w:t>стат</w:t>
      </w:r>
      <w:r w:rsidR="00F2352F" w:rsidRPr="003B3292">
        <w:rPr>
          <w:color w:val="000000"/>
          <w:sz w:val="28"/>
          <w:szCs w:val="28"/>
        </w:rPr>
        <w:t>т</w:t>
      </w:r>
      <w:r w:rsidR="002F3EA5" w:rsidRPr="003B3292">
        <w:rPr>
          <w:color w:val="000000"/>
          <w:sz w:val="28"/>
          <w:szCs w:val="28"/>
        </w:rPr>
        <w:t>і 268</w:t>
      </w:r>
      <w:r w:rsidR="004017C7" w:rsidRPr="003B3292">
        <w:rPr>
          <w:color w:val="000000"/>
          <w:sz w:val="28"/>
          <w:szCs w:val="28"/>
        </w:rPr>
        <w:t xml:space="preserve"> Кодексу</w:t>
      </w:r>
      <w:r w:rsidR="004017C7" w:rsidRPr="003B3292">
        <w:rPr>
          <w:sz w:val="28"/>
          <w:szCs w:val="28"/>
        </w:rPr>
        <w:t xml:space="preserve"> в редакції до внесення змін </w:t>
      </w:r>
      <w:r w:rsidR="00FA5007" w:rsidRPr="003B3292">
        <w:rPr>
          <w:sz w:val="28"/>
          <w:szCs w:val="28"/>
        </w:rPr>
        <w:br/>
      </w:r>
      <w:r w:rsidR="004017C7" w:rsidRPr="003B3292">
        <w:rPr>
          <w:sz w:val="28"/>
          <w:szCs w:val="28"/>
        </w:rPr>
        <w:t xml:space="preserve">Законом </w:t>
      </w:r>
      <w:r w:rsidR="008A3873">
        <w:rPr>
          <w:color w:val="000000"/>
          <w:sz w:val="28"/>
          <w:szCs w:val="28"/>
          <w:lang w:eastAsia="ru-RU"/>
        </w:rPr>
        <w:t xml:space="preserve">№ </w:t>
      </w:r>
      <w:r w:rsidR="004017C7" w:rsidRPr="003B3292">
        <w:rPr>
          <w:color w:val="000000"/>
          <w:sz w:val="28"/>
          <w:szCs w:val="28"/>
          <w:lang w:eastAsia="ru-RU"/>
        </w:rPr>
        <w:t>4176</w:t>
      </w:r>
      <w:r w:rsidR="009D1251">
        <w:rPr>
          <w:color w:val="000000"/>
          <w:sz w:val="28"/>
          <w:szCs w:val="28"/>
          <w:lang w:eastAsia="ru-RU"/>
        </w:rPr>
        <w:t>,</w:t>
      </w:r>
      <w:r w:rsidR="004017C7" w:rsidRPr="003B3292">
        <w:rPr>
          <w:color w:val="000000"/>
          <w:sz w:val="28"/>
          <w:szCs w:val="28"/>
          <w:lang w:eastAsia="ru-RU"/>
        </w:rPr>
        <w:t xml:space="preserve"> </w:t>
      </w:r>
      <w:r w:rsidRPr="003B3292">
        <w:rPr>
          <w:color w:val="000000"/>
          <w:sz w:val="28"/>
          <w:szCs w:val="28"/>
          <w:lang w:eastAsia="ru-RU"/>
        </w:rPr>
        <w:t>„</w:t>
      </w:r>
      <w:r w:rsidRPr="003B3292">
        <w:rPr>
          <w:color w:val="000000"/>
          <w:sz w:val="28"/>
          <w:szCs w:val="28"/>
        </w:rPr>
        <w:t>призвели до обмеження строку на судове оскарження, тобто обмежило право особи на звернення до суду у часі</w:t>
      </w:r>
      <w:r w:rsidRPr="003B3292">
        <w:rPr>
          <w:color w:val="000000"/>
          <w:sz w:val="28"/>
          <w:szCs w:val="28"/>
          <w:lang w:eastAsia="ru-RU"/>
        </w:rPr>
        <w:t>“</w:t>
      </w:r>
      <w:r w:rsidR="00E33A27" w:rsidRPr="003B3292">
        <w:rPr>
          <w:color w:val="000000"/>
          <w:sz w:val="28"/>
          <w:szCs w:val="28"/>
        </w:rPr>
        <w:t>.</w:t>
      </w:r>
    </w:p>
    <w:p w:rsidR="004E5015" w:rsidRPr="003B3292" w:rsidRDefault="004E5015" w:rsidP="003B32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CD" w:rsidRPr="003B3292" w:rsidRDefault="00F805CD" w:rsidP="003B3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292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F805CD" w:rsidRPr="003B3292" w:rsidRDefault="00F805CD" w:rsidP="003B3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</w:t>
      </w: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273EC1" w:rsidRPr="003B3292" w:rsidRDefault="00535C7B" w:rsidP="003B329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3B3292">
        <w:rPr>
          <w:sz w:val="28"/>
          <w:szCs w:val="28"/>
        </w:rPr>
        <w:t>З доданої до конституційної скарги копії постанови суду касаційної інстанції –</w:t>
      </w:r>
      <w:r w:rsidRPr="003B3292">
        <w:rPr>
          <w:sz w:val="28"/>
          <w:szCs w:val="28"/>
          <w:lang w:eastAsia="ru-RU"/>
        </w:rPr>
        <w:t xml:space="preserve"> постанови </w:t>
      </w:r>
      <w:r w:rsidR="00D8773E" w:rsidRPr="003B3292">
        <w:rPr>
          <w:sz w:val="28"/>
          <w:szCs w:val="28"/>
          <w:lang w:eastAsia="ru-RU"/>
        </w:rPr>
        <w:t xml:space="preserve">Верховного Суду у складі </w:t>
      </w:r>
      <w:r w:rsidRPr="003B3292">
        <w:rPr>
          <w:sz w:val="28"/>
          <w:szCs w:val="28"/>
          <w:lang w:eastAsia="ru-RU"/>
        </w:rPr>
        <w:t>колегії суддів Другої судової палати Касаційного цивільного суду від 5 жовтня 2022 року, яка є остаточним судовим рішенням у справі Підопригори В.</w:t>
      </w:r>
      <w:r w:rsidR="00273EC1" w:rsidRPr="003B3292">
        <w:rPr>
          <w:sz w:val="28"/>
          <w:szCs w:val="28"/>
          <w:lang w:eastAsia="ru-RU"/>
        </w:rPr>
        <w:t>П.,</w:t>
      </w:r>
      <w:r w:rsidRPr="003B3292">
        <w:rPr>
          <w:sz w:val="28"/>
          <w:szCs w:val="28"/>
          <w:lang w:eastAsia="ru-RU"/>
        </w:rPr>
        <w:t xml:space="preserve"> </w:t>
      </w:r>
      <w:r w:rsidR="00273EC1" w:rsidRPr="003B3292">
        <w:rPr>
          <w:sz w:val="28"/>
          <w:szCs w:val="28"/>
          <w:lang w:eastAsia="ru-RU"/>
        </w:rPr>
        <w:t xml:space="preserve">вбачається, що приписи </w:t>
      </w:r>
      <w:r w:rsidR="00273EC1" w:rsidRPr="003B3292">
        <w:rPr>
          <w:sz w:val="28"/>
          <w:szCs w:val="28"/>
        </w:rPr>
        <w:t>пункту 4 частини першої статт</w:t>
      </w:r>
      <w:r w:rsidR="00D8773E" w:rsidRPr="003B3292">
        <w:rPr>
          <w:sz w:val="28"/>
          <w:szCs w:val="28"/>
        </w:rPr>
        <w:t>і 268 Кодексу</w:t>
      </w:r>
      <w:r w:rsidR="00273EC1" w:rsidRPr="003B3292">
        <w:rPr>
          <w:sz w:val="28"/>
          <w:szCs w:val="28"/>
        </w:rPr>
        <w:t xml:space="preserve"> в редакції до</w:t>
      </w:r>
      <w:r w:rsidR="00D8773E" w:rsidRPr="003B3292">
        <w:rPr>
          <w:sz w:val="28"/>
          <w:szCs w:val="28"/>
        </w:rPr>
        <w:t xml:space="preserve"> внесення </w:t>
      </w:r>
      <w:r w:rsidR="006428B6" w:rsidRPr="003B3292">
        <w:rPr>
          <w:sz w:val="28"/>
          <w:szCs w:val="28"/>
        </w:rPr>
        <w:t xml:space="preserve">змін </w:t>
      </w:r>
      <w:r w:rsidR="00273EC1" w:rsidRPr="003B3292">
        <w:rPr>
          <w:sz w:val="28"/>
          <w:szCs w:val="28"/>
        </w:rPr>
        <w:t xml:space="preserve">Законом </w:t>
      </w:r>
      <w:r w:rsidR="008A3873">
        <w:rPr>
          <w:color w:val="000000"/>
          <w:sz w:val="28"/>
          <w:szCs w:val="28"/>
          <w:lang w:eastAsia="ru-RU"/>
        </w:rPr>
        <w:t xml:space="preserve">№ </w:t>
      </w:r>
      <w:r w:rsidR="00273EC1" w:rsidRPr="003B3292">
        <w:rPr>
          <w:color w:val="000000"/>
          <w:sz w:val="28"/>
          <w:szCs w:val="28"/>
          <w:lang w:eastAsia="ru-RU"/>
        </w:rPr>
        <w:t>4176 в ній не застосовувалися.</w:t>
      </w:r>
    </w:p>
    <w:p w:rsidR="00F2352F" w:rsidRPr="003B3292" w:rsidRDefault="003B3292" w:rsidP="003B329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Отже, </w:t>
      </w:r>
      <w:r w:rsidR="00273EC1" w:rsidRPr="003B3292">
        <w:rPr>
          <w:rFonts w:ascii="Times New Roman" w:hAnsi="Times New Roman"/>
          <w:sz w:val="28"/>
          <w:szCs w:val="28"/>
          <w:lang w:eastAsia="ru-RU"/>
        </w:rPr>
        <w:t xml:space="preserve">Підопригора В.П. </w:t>
      </w:r>
      <w:r w:rsidR="00273EC1" w:rsidRPr="003B3292">
        <w:rPr>
          <w:rFonts w:ascii="Times New Roman" w:hAnsi="Times New Roman"/>
          <w:sz w:val="28"/>
          <w:szCs w:val="28"/>
        </w:rPr>
        <w:t>у частині перевірки на ві</w:t>
      </w:r>
      <w:r w:rsidR="00A46748" w:rsidRPr="003B3292">
        <w:rPr>
          <w:rFonts w:ascii="Times New Roman" w:hAnsi="Times New Roman"/>
          <w:sz w:val="28"/>
          <w:szCs w:val="28"/>
        </w:rPr>
        <w:t xml:space="preserve">дповідність Конституції України </w:t>
      </w:r>
      <w:r w:rsidR="00273EC1" w:rsidRPr="003B3292">
        <w:rPr>
          <w:rFonts w:ascii="Times New Roman" w:hAnsi="Times New Roman"/>
          <w:sz w:val="28"/>
          <w:szCs w:val="28"/>
        </w:rPr>
        <w:t>(конституційність) приписів пункту 4 части</w:t>
      </w:r>
      <w:r w:rsidR="00D8773E" w:rsidRPr="003B3292">
        <w:rPr>
          <w:rFonts w:ascii="Times New Roman" w:hAnsi="Times New Roman"/>
          <w:sz w:val="28"/>
          <w:szCs w:val="28"/>
        </w:rPr>
        <w:t>ни першої статті 268 Кодексу</w:t>
      </w:r>
      <w:r w:rsidR="00273EC1" w:rsidRPr="003B3292">
        <w:rPr>
          <w:rFonts w:ascii="Times New Roman" w:hAnsi="Times New Roman"/>
          <w:sz w:val="28"/>
          <w:szCs w:val="28"/>
        </w:rPr>
        <w:t xml:space="preserve"> в редакції до </w:t>
      </w:r>
      <w:r w:rsidR="00D8773E" w:rsidRPr="003B3292">
        <w:rPr>
          <w:rFonts w:ascii="Times New Roman" w:hAnsi="Times New Roman"/>
          <w:sz w:val="28"/>
          <w:szCs w:val="28"/>
        </w:rPr>
        <w:t xml:space="preserve">внесення змін </w:t>
      </w:r>
      <w:r w:rsidR="00273EC1" w:rsidRPr="003B3292">
        <w:rPr>
          <w:rFonts w:ascii="Times New Roman" w:hAnsi="Times New Roman"/>
          <w:sz w:val="28"/>
          <w:szCs w:val="28"/>
        </w:rPr>
        <w:t xml:space="preserve">Законом </w:t>
      </w:r>
      <w:r w:rsidR="008A387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73EC1" w:rsidRPr="003B3292">
        <w:rPr>
          <w:rFonts w:ascii="Times New Roman" w:hAnsi="Times New Roman"/>
          <w:sz w:val="28"/>
          <w:szCs w:val="28"/>
          <w:lang w:eastAsia="ru-RU"/>
        </w:rPr>
        <w:t xml:space="preserve">4176 </w:t>
      </w:r>
      <w:r w:rsidR="00273EC1" w:rsidRPr="003B3292">
        <w:rPr>
          <w:rFonts w:ascii="Times New Roman" w:hAnsi="Times New Roman"/>
          <w:sz w:val="28"/>
          <w:szCs w:val="28"/>
        </w:rPr>
        <w:t>не є суб’єктом права на конституційну скаргу, що є підставою для відмови у відкритті конституційного провадження у цій частині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F805CD" w:rsidRPr="003B3292" w:rsidRDefault="00544E29" w:rsidP="003B32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29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41CF7" w:rsidRPr="003B3292">
        <w:rPr>
          <w:rFonts w:ascii="Times New Roman" w:hAnsi="Times New Roman" w:cs="Times New Roman"/>
          <w:sz w:val="28"/>
          <w:szCs w:val="28"/>
          <w:lang w:val="uk-UA"/>
        </w:rPr>
        <w:t>уб’єкт права на</w:t>
      </w:r>
      <w:r w:rsidR="00730B59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конституційну скаргу фактично </w:t>
      </w:r>
      <w:r w:rsidR="00041CF7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незгоду </w:t>
      </w:r>
      <w:r w:rsidR="009D12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05CD" w:rsidRPr="003B3292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з судовими</w:t>
      </w:r>
      <w:r w:rsidR="00F805CD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CD" w:rsidRPr="003B3292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рішеннями, ухваленими </w:t>
      </w:r>
      <w:r w:rsidR="00730B59" w:rsidRPr="003B3292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в</w:t>
      </w:r>
      <w:r w:rsidR="00F805CD" w:rsidRPr="003B3292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 його справі, а також</w:t>
      </w:r>
      <w:r w:rsidR="00CD3CAC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FF1868" w:rsidRPr="003B3292">
        <w:rPr>
          <w:rFonts w:ascii="Times New Roman" w:hAnsi="Times New Roman" w:cs="Times New Roman"/>
          <w:sz w:val="28"/>
          <w:szCs w:val="28"/>
          <w:lang w:val="uk-UA"/>
        </w:rPr>
        <w:t>правозастосуванням</w:t>
      </w:r>
      <w:r w:rsidR="002F3EA5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строків позовної давності</w:t>
      </w:r>
      <w:r w:rsidR="00F805CD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, що не можна вважати належним обґрунтуванням </w:t>
      </w:r>
      <w:r w:rsidR="00C8792E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тверджень </w:t>
      </w:r>
      <w:r w:rsidR="009C4FAD" w:rsidRPr="003B329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616A9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неконституційності оспорюваних </w:t>
      </w:r>
      <w:r w:rsidR="00730B59" w:rsidRPr="003B3292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="00F805CD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73E" w:rsidRPr="003B3292">
        <w:rPr>
          <w:rFonts w:ascii="Times New Roman" w:hAnsi="Times New Roman" w:cs="Times New Roman"/>
          <w:sz w:val="28"/>
          <w:szCs w:val="28"/>
          <w:lang w:val="uk-UA"/>
        </w:rPr>
        <w:t>Кодексу</w:t>
      </w:r>
      <w:r w:rsidR="00F805CD" w:rsidRPr="003B329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вимог пункту 6 частини другої </w:t>
      </w:r>
      <w:r w:rsidR="00F805CD" w:rsidRPr="003B3292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F805CD" w:rsidRPr="003B3292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F805CD" w:rsidRPr="003B3292">
        <w:rPr>
          <w:rFonts w:ascii="Times New Roman" w:hAnsi="Times New Roman" w:cs="Times New Roman"/>
          <w:sz w:val="28"/>
          <w:szCs w:val="28"/>
          <w:lang w:val="uk-UA"/>
        </w:rPr>
        <w:t>55 Закону України „Про Конституційний Суд України“.</w:t>
      </w:r>
    </w:p>
    <w:p w:rsidR="00F805CD" w:rsidRPr="003B3292" w:rsidRDefault="00F805CD" w:rsidP="003B32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292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є 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805CD" w:rsidRPr="003B3292" w:rsidRDefault="00F805CD" w:rsidP="003B32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B59" w:rsidRPr="003B3292" w:rsidRDefault="00F805CD" w:rsidP="003B329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3B32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C19BE" w:rsidRPr="003B3292" w:rsidRDefault="007C19BE" w:rsidP="003B329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30BE" w:rsidRPr="003B3292" w:rsidRDefault="00575615" w:rsidP="003B329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92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3B3292" w:rsidRDefault="00E330BE" w:rsidP="003B329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Pr="003B3292" w:rsidRDefault="00F805CD" w:rsidP="003B3292">
      <w:pPr>
        <w:pStyle w:val="20"/>
        <w:spacing w:after="0" w:line="360" w:lineRule="auto"/>
        <w:ind w:firstLine="567"/>
        <w:jc w:val="both"/>
      </w:pPr>
      <w:r w:rsidRPr="003B3292">
        <w:t xml:space="preserve">1. Відмовити у відкритті конституційного провадження у справі </w:t>
      </w:r>
      <w:r w:rsidRPr="003B3292">
        <w:br/>
        <w:t xml:space="preserve">за конституційною скаргою </w:t>
      </w:r>
      <w:r w:rsidR="002F3EA5" w:rsidRPr="003B3292">
        <w:t xml:space="preserve">Підопригори Віталія Павловича щодо відповідності Конституції України (конституційності) приписів статті 256, частини четвертої статті 267 </w:t>
      </w:r>
      <w:r w:rsidR="007A75E6" w:rsidRPr="003B3292">
        <w:t>Цивільного кодексу України</w:t>
      </w:r>
      <w:r w:rsidR="0004218E" w:rsidRPr="003B3292">
        <w:t xml:space="preserve"> у</w:t>
      </w:r>
      <w:r w:rsidR="003B3292">
        <w:t xml:space="preserve"> системному зв’язку з приписами</w:t>
      </w:r>
      <w:r w:rsidR="003B3292">
        <w:br/>
      </w:r>
      <w:r w:rsidR="0004218E" w:rsidRPr="003B3292">
        <w:t xml:space="preserve">пункту 4 частини першої статті 268 </w:t>
      </w:r>
      <w:r w:rsidR="007A75E6" w:rsidRPr="003B3292">
        <w:t>Цивільного кодексу України</w:t>
      </w:r>
      <w:r w:rsidR="0004218E" w:rsidRPr="003B3292">
        <w:t xml:space="preserve"> в редакції до </w:t>
      </w:r>
      <w:r w:rsidR="009A1B3F" w:rsidRPr="003B3292">
        <w:t>внесення змін</w:t>
      </w:r>
      <w:r w:rsidR="0004218E" w:rsidRPr="003B3292">
        <w:t xml:space="preserve"> Законом України</w:t>
      </w:r>
      <w:r w:rsidR="008A3873">
        <w:t xml:space="preserve"> </w:t>
      </w:r>
      <w:r w:rsidR="0004218E" w:rsidRPr="003B3292">
        <w:t xml:space="preserve">„Про внесення змін до деяких законів України щодо вдосконалення порядку здійснення судочинства“ від 20 грудня 2011 року </w:t>
      </w:r>
      <w:r w:rsidR="008A3873">
        <w:t xml:space="preserve">№ </w:t>
      </w:r>
      <w:r w:rsidR="0004218E" w:rsidRPr="003B3292">
        <w:t xml:space="preserve">4176–VI </w:t>
      </w:r>
      <w:r w:rsidR="00273EC1" w:rsidRPr="003B3292">
        <w:t>на підставі пунктів 1,</w:t>
      </w:r>
      <w:r w:rsidRPr="003B3292">
        <w:t xml:space="preserve"> 4 статті 62 Закону України „Про Конституційний Суд України“ – </w:t>
      </w:r>
      <w:r w:rsidR="00273EC1" w:rsidRPr="003B3292">
        <w:rPr>
          <w:lang w:eastAsia="en-US"/>
        </w:rPr>
        <w:t xml:space="preserve">звернення до </w:t>
      </w:r>
      <w:r w:rsidR="00273EC1" w:rsidRPr="003B3292">
        <w:rPr>
          <w:color w:val="000000"/>
          <w:lang w:eastAsia="en-US"/>
        </w:rPr>
        <w:t>Конституційного Суду України</w:t>
      </w:r>
      <w:r w:rsidR="00273EC1" w:rsidRPr="003B3292">
        <w:rPr>
          <w:lang w:eastAsia="en-US"/>
        </w:rPr>
        <w:t xml:space="preserve"> неналежним суб’єктом; </w:t>
      </w:r>
      <w:r w:rsidRPr="003B3292">
        <w:t>неприйнятність конституційної скарги.</w:t>
      </w:r>
    </w:p>
    <w:p w:rsidR="003B3292" w:rsidRDefault="003B3292" w:rsidP="003B3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ECE" w:rsidRDefault="00077D5E" w:rsidP="003B32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29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3B3292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3B3292" w:rsidRDefault="003B3292" w:rsidP="003B3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292" w:rsidRDefault="003B3292" w:rsidP="003B3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B27" w:rsidRDefault="000F1B27" w:rsidP="003B32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B27" w:rsidRPr="000F1B27" w:rsidRDefault="000F1B27" w:rsidP="000F1B27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F1B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0F1B27" w:rsidRPr="000F1B27" w:rsidRDefault="000F1B27" w:rsidP="000F1B27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F1B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3B3292" w:rsidRPr="000F1B27" w:rsidRDefault="000F1B27" w:rsidP="000F1B27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F1B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3B3292" w:rsidRPr="000F1B27" w:rsidSect="003B3292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01" w:rsidRDefault="00FF5D01">
      <w:pPr>
        <w:spacing w:after="0" w:line="240" w:lineRule="auto"/>
      </w:pPr>
      <w:r>
        <w:separator/>
      </w:r>
    </w:p>
  </w:endnote>
  <w:endnote w:type="continuationSeparator" w:id="0">
    <w:p w:rsidR="00FF5D01" w:rsidRDefault="00FF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92" w:rsidRPr="003B3292" w:rsidRDefault="003B3292">
    <w:pPr>
      <w:pStyle w:val="a5"/>
      <w:rPr>
        <w:rFonts w:ascii="Times New Roman" w:hAnsi="Times New Roman"/>
        <w:sz w:val="10"/>
        <w:szCs w:val="10"/>
      </w:rPr>
    </w:pPr>
    <w:r w:rsidRPr="003B3292">
      <w:rPr>
        <w:rFonts w:ascii="Times New Roman" w:hAnsi="Times New Roman"/>
        <w:sz w:val="10"/>
        <w:szCs w:val="10"/>
      </w:rPr>
      <w:fldChar w:fldCharType="begin"/>
    </w:r>
    <w:r w:rsidRPr="003B3292">
      <w:rPr>
        <w:rFonts w:ascii="Times New Roman" w:hAnsi="Times New Roman"/>
        <w:sz w:val="10"/>
        <w:szCs w:val="10"/>
      </w:rPr>
      <w:instrText xml:space="preserve"> FILENAME \p \* MERGEFORMAT </w:instrText>
    </w:r>
    <w:r w:rsidRPr="003B3292">
      <w:rPr>
        <w:rFonts w:ascii="Times New Roman" w:hAnsi="Times New Roman"/>
        <w:sz w:val="10"/>
        <w:szCs w:val="10"/>
      </w:rPr>
      <w:fldChar w:fldCharType="separate"/>
    </w:r>
    <w:r w:rsidR="000F1B27">
      <w:rPr>
        <w:rFonts w:ascii="Times New Roman" w:hAnsi="Times New Roman"/>
        <w:noProof/>
        <w:sz w:val="10"/>
        <w:szCs w:val="10"/>
      </w:rPr>
      <w:t>G:\2023\Suddi\I senat\I koleg\5.docx</w:t>
    </w:r>
    <w:r w:rsidRPr="003B329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92" w:rsidRPr="003B3292" w:rsidRDefault="003B3292">
    <w:pPr>
      <w:pStyle w:val="a5"/>
      <w:rPr>
        <w:rFonts w:ascii="Times New Roman" w:hAnsi="Times New Roman"/>
        <w:sz w:val="10"/>
        <w:szCs w:val="10"/>
      </w:rPr>
    </w:pPr>
    <w:r w:rsidRPr="003B3292">
      <w:rPr>
        <w:rFonts w:ascii="Times New Roman" w:hAnsi="Times New Roman"/>
        <w:sz w:val="10"/>
        <w:szCs w:val="10"/>
      </w:rPr>
      <w:fldChar w:fldCharType="begin"/>
    </w:r>
    <w:r w:rsidRPr="003B3292">
      <w:rPr>
        <w:rFonts w:ascii="Times New Roman" w:hAnsi="Times New Roman"/>
        <w:sz w:val="10"/>
        <w:szCs w:val="10"/>
      </w:rPr>
      <w:instrText xml:space="preserve"> FILENAME \p \* MERGEFORMAT </w:instrText>
    </w:r>
    <w:r w:rsidRPr="003B3292">
      <w:rPr>
        <w:rFonts w:ascii="Times New Roman" w:hAnsi="Times New Roman"/>
        <w:sz w:val="10"/>
        <w:szCs w:val="10"/>
      </w:rPr>
      <w:fldChar w:fldCharType="separate"/>
    </w:r>
    <w:r w:rsidR="000F1B27">
      <w:rPr>
        <w:rFonts w:ascii="Times New Roman" w:hAnsi="Times New Roman"/>
        <w:noProof/>
        <w:sz w:val="10"/>
        <w:szCs w:val="10"/>
      </w:rPr>
      <w:t>G:\2023\Suddi\I senat\I koleg\5.docx</w:t>
    </w:r>
    <w:r w:rsidRPr="003B329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01" w:rsidRDefault="00FF5D01">
      <w:pPr>
        <w:spacing w:after="0" w:line="240" w:lineRule="auto"/>
      </w:pPr>
      <w:r>
        <w:separator/>
      </w:r>
    </w:p>
  </w:footnote>
  <w:footnote w:type="continuationSeparator" w:id="0">
    <w:p w:rsidR="00FF5D01" w:rsidRDefault="00FF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58560127"/>
      <w:docPartObj>
        <w:docPartGallery w:val="Page Numbers (Top of Page)"/>
        <w:docPartUnique/>
      </w:docPartObj>
    </w:sdtPr>
    <w:sdtEndPr/>
    <w:sdtContent>
      <w:p w:rsidR="003B3292" w:rsidRPr="003B3292" w:rsidRDefault="003B329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B3292">
          <w:rPr>
            <w:rFonts w:ascii="Times New Roman" w:hAnsi="Times New Roman"/>
            <w:sz w:val="28"/>
            <w:szCs w:val="28"/>
          </w:rPr>
          <w:fldChar w:fldCharType="begin"/>
        </w:r>
        <w:r w:rsidRPr="003B329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B3292">
          <w:rPr>
            <w:rFonts w:ascii="Times New Roman" w:hAnsi="Times New Roman"/>
            <w:sz w:val="28"/>
            <w:szCs w:val="28"/>
          </w:rPr>
          <w:fldChar w:fldCharType="separate"/>
        </w:r>
        <w:r w:rsidR="008A3873">
          <w:rPr>
            <w:rFonts w:ascii="Times New Roman" w:hAnsi="Times New Roman"/>
            <w:noProof/>
            <w:sz w:val="28"/>
            <w:szCs w:val="28"/>
          </w:rPr>
          <w:t>2</w:t>
        </w:r>
        <w:r w:rsidRPr="003B329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41897"/>
    <w:rsid w:val="00041CF7"/>
    <w:rsid w:val="0004218E"/>
    <w:rsid w:val="00077D5E"/>
    <w:rsid w:val="0008779E"/>
    <w:rsid w:val="000B654F"/>
    <w:rsid w:val="000C0DE0"/>
    <w:rsid w:val="000C3765"/>
    <w:rsid w:val="000F1B27"/>
    <w:rsid w:val="000F6FE4"/>
    <w:rsid w:val="00126177"/>
    <w:rsid w:val="0012700D"/>
    <w:rsid w:val="00157F6B"/>
    <w:rsid w:val="00186166"/>
    <w:rsid w:val="001A125C"/>
    <w:rsid w:val="001A70FC"/>
    <w:rsid w:val="001B129E"/>
    <w:rsid w:val="001B2B6E"/>
    <w:rsid w:val="001C052D"/>
    <w:rsid w:val="001C29D9"/>
    <w:rsid w:val="001E7ABE"/>
    <w:rsid w:val="002049CD"/>
    <w:rsid w:val="00204D3C"/>
    <w:rsid w:val="00210777"/>
    <w:rsid w:val="00253AC4"/>
    <w:rsid w:val="00265793"/>
    <w:rsid w:val="00273EC1"/>
    <w:rsid w:val="00281AD5"/>
    <w:rsid w:val="00290FD7"/>
    <w:rsid w:val="00297945"/>
    <w:rsid w:val="002C0A0F"/>
    <w:rsid w:val="002C46EA"/>
    <w:rsid w:val="002D7113"/>
    <w:rsid w:val="002E1655"/>
    <w:rsid w:val="002F3EA5"/>
    <w:rsid w:val="00313E5C"/>
    <w:rsid w:val="00360B0C"/>
    <w:rsid w:val="0037733A"/>
    <w:rsid w:val="003B2261"/>
    <w:rsid w:val="003B3292"/>
    <w:rsid w:val="003B3997"/>
    <w:rsid w:val="003C1D96"/>
    <w:rsid w:val="003D4CD5"/>
    <w:rsid w:val="003E5978"/>
    <w:rsid w:val="003F56B8"/>
    <w:rsid w:val="00400A28"/>
    <w:rsid w:val="004017C7"/>
    <w:rsid w:val="00407D54"/>
    <w:rsid w:val="004157F6"/>
    <w:rsid w:val="00442768"/>
    <w:rsid w:val="00453D5B"/>
    <w:rsid w:val="00460CA7"/>
    <w:rsid w:val="00461501"/>
    <w:rsid w:val="0047154C"/>
    <w:rsid w:val="00476CFB"/>
    <w:rsid w:val="00480A00"/>
    <w:rsid w:val="00486BB3"/>
    <w:rsid w:val="00492ECE"/>
    <w:rsid w:val="0049757F"/>
    <w:rsid w:val="004E5015"/>
    <w:rsid w:val="004E7C68"/>
    <w:rsid w:val="0050287D"/>
    <w:rsid w:val="00507D1C"/>
    <w:rsid w:val="00513F20"/>
    <w:rsid w:val="0051545D"/>
    <w:rsid w:val="00535C7B"/>
    <w:rsid w:val="00544E29"/>
    <w:rsid w:val="00545212"/>
    <w:rsid w:val="005467DE"/>
    <w:rsid w:val="00566F73"/>
    <w:rsid w:val="0057131B"/>
    <w:rsid w:val="00575615"/>
    <w:rsid w:val="0057561F"/>
    <w:rsid w:val="005766C7"/>
    <w:rsid w:val="00577F00"/>
    <w:rsid w:val="0058295F"/>
    <w:rsid w:val="00591C5C"/>
    <w:rsid w:val="00597097"/>
    <w:rsid w:val="00597441"/>
    <w:rsid w:val="005B138B"/>
    <w:rsid w:val="005D5DAB"/>
    <w:rsid w:val="005E0E2B"/>
    <w:rsid w:val="005E7EA3"/>
    <w:rsid w:val="005F0C81"/>
    <w:rsid w:val="005F5480"/>
    <w:rsid w:val="006004D0"/>
    <w:rsid w:val="006174C1"/>
    <w:rsid w:val="00631697"/>
    <w:rsid w:val="006337A7"/>
    <w:rsid w:val="00634517"/>
    <w:rsid w:val="006428B6"/>
    <w:rsid w:val="00643EDE"/>
    <w:rsid w:val="0065289D"/>
    <w:rsid w:val="0065786E"/>
    <w:rsid w:val="00657D3A"/>
    <w:rsid w:val="006811EF"/>
    <w:rsid w:val="00684A31"/>
    <w:rsid w:val="006A0DFA"/>
    <w:rsid w:val="006A3B68"/>
    <w:rsid w:val="006B7244"/>
    <w:rsid w:val="006D3E70"/>
    <w:rsid w:val="006F794D"/>
    <w:rsid w:val="0070038E"/>
    <w:rsid w:val="00700EF0"/>
    <w:rsid w:val="0071267D"/>
    <w:rsid w:val="0071709D"/>
    <w:rsid w:val="00726AE3"/>
    <w:rsid w:val="00730B59"/>
    <w:rsid w:val="0073434E"/>
    <w:rsid w:val="00754E6B"/>
    <w:rsid w:val="0076116B"/>
    <w:rsid w:val="00765226"/>
    <w:rsid w:val="007675F8"/>
    <w:rsid w:val="00771BD2"/>
    <w:rsid w:val="0079257A"/>
    <w:rsid w:val="00795797"/>
    <w:rsid w:val="007A75E6"/>
    <w:rsid w:val="007C19BE"/>
    <w:rsid w:val="007D0152"/>
    <w:rsid w:val="007E350B"/>
    <w:rsid w:val="007E5D50"/>
    <w:rsid w:val="007F7A0B"/>
    <w:rsid w:val="008004E6"/>
    <w:rsid w:val="00835650"/>
    <w:rsid w:val="008661CC"/>
    <w:rsid w:val="008829D6"/>
    <w:rsid w:val="0088348C"/>
    <w:rsid w:val="008847F9"/>
    <w:rsid w:val="0089333B"/>
    <w:rsid w:val="00895B1A"/>
    <w:rsid w:val="008966CA"/>
    <w:rsid w:val="008A1B94"/>
    <w:rsid w:val="008A3873"/>
    <w:rsid w:val="008B4032"/>
    <w:rsid w:val="008D6098"/>
    <w:rsid w:val="008D7449"/>
    <w:rsid w:val="008F6123"/>
    <w:rsid w:val="00901B72"/>
    <w:rsid w:val="00906281"/>
    <w:rsid w:val="00924355"/>
    <w:rsid w:val="00931E5B"/>
    <w:rsid w:val="00944D3F"/>
    <w:rsid w:val="00970416"/>
    <w:rsid w:val="009864A2"/>
    <w:rsid w:val="009A1B3F"/>
    <w:rsid w:val="009C4FAD"/>
    <w:rsid w:val="009D1251"/>
    <w:rsid w:val="009D1E8F"/>
    <w:rsid w:val="009D362C"/>
    <w:rsid w:val="009E626C"/>
    <w:rsid w:val="009F33CA"/>
    <w:rsid w:val="00A0174C"/>
    <w:rsid w:val="00A170FB"/>
    <w:rsid w:val="00A20C01"/>
    <w:rsid w:val="00A25887"/>
    <w:rsid w:val="00A37DC8"/>
    <w:rsid w:val="00A42199"/>
    <w:rsid w:val="00A45A2A"/>
    <w:rsid w:val="00A46748"/>
    <w:rsid w:val="00A76C98"/>
    <w:rsid w:val="00A83F2D"/>
    <w:rsid w:val="00A9133A"/>
    <w:rsid w:val="00A94858"/>
    <w:rsid w:val="00AA3CB8"/>
    <w:rsid w:val="00B126DF"/>
    <w:rsid w:val="00B352BA"/>
    <w:rsid w:val="00B450D6"/>
    <w:rsid w:val="00B57B34"/>
    <w:rsid w:val="00B616A9"/>
    <w:rsid w:val="00B66C13"/>
    <w:rsid w:val="00B77454"/>
    <w:rsid w:val="00B927B2"/>
    <w:rsid w:val="00B952A0"/>
    <w:rsid w:val="00BA57C5"/>
    <w:rsid w:val="00BB435A"/>
    <w:rsid w:val="00BC20D4"/>
    <w:rsid w:val="00C041C8"/>
    <w:rsid w:val="00C149B8"/>
    <w:rsid w:val="00C20F75"/>
    <w:rsid w:val="00C259D1"/>
    <w:rsid w:val="00C428DF"/>
    <w:rsid w:val="00C70723"/>
    <w:rsid w:val="00C833B4"/>
    <w:rsid w:val="00C8792E"/>
    <w:rsid w:val="00CB2088"/>
    <w:rsid w:val="00CD3CAC"/>
    <w:rsid w:val="00CE2830"/>
    <w:rsid w:val="00D35820"/>
    <w:rsid w:val="00D44BF9"/>
    <w:rsid w:val="00D834BF"/>
    <w:rsid w:val="00D8773E"/>
    <w:rsid w:val="00D9607B"/>
    <w:rsid w:val="00D96D9E"/>
    <w:rsid w:val="00DA21E9"/>
    <w:rsid w:val="00DA6140"/>
    <w:rsid w:val="00DE4E33"/>
    <w:rsid w:val="00E101A4"/>
    <w:rsid w:val="00E162E4"/>
    <w:rsid w:val="00E239A4"/>
    <w:rsid w:val="00E330BE"/>
    <w:rsid w:val="00E33A27"/>
    <w:rsid w:val="00E41FC9"/>
    <w:rsid w:val="00E81EB4"/>
    <w:rsid w:val="00E91855"/>
    <w:rsid w:val="00E944AD"/>
    <w:rsid w:val="00E948BD"/>
    <w:rsid w:val="00EA1DF6"/>
    <w:rsid w:val="00EE6D9E"/>
    <w:rsid w:val="00EF57DA"/>
    <w:rsid w:val="00F05C12"/>
    <w:rsid w:val="00F060BB"/>
    <w:rsid w:val="00F2352F"/>
    <w:rsid w:val="00F329EB"/>
    <w:rsid w:val="00F7180E"/>
    <w:rsid w:val="00F805CD"/>
    <w:rsid w:val="00FA5007"/>
    <w:rsid w:val="00FD25FC"/>
    <w:rsid w:val="00FD51B8"/>
    <w:rsid w:val="00FE5455"/>
    <w:rsid w:val="00FF1868"/>
    <w:rsid w:val="00FF564A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D63D-CA22-4D63-BF1C-4E0B56C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329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3B3292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4094</Words>
  <Characters>2335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2023-02-15T12:55:00Z</cp:lastPrinted>
  <dcterms:created xsi:type="dcterms:W3CDTF">2023-08-30T07:21:00Z</dcterms:created>
  <dcterms:modified xsi:type="dcterms:W3CDTF">2023-08-30T07:21:00Z</dcterms:modified>
</cp:coreProperties>
</file>