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61" w:rsidRDefault="00A37361" w:rsidP="007F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Hlk101386702"/>
    </w:p>
    <w:p w:rsidR="00A37361" w:rsidRDefault="00A37361" w:rsidP="007F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37361" w:rsidRDefault="00A37361" w:rsidP="007F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37361" w:rsidRDefault="00A37361" w:rsidP="007F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37361" w:rsidRDefault="00A37361" w:rsidP="007F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37361" w:rsidRDefault="00A37361" w:rsidP="007F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37361" w:rsidRDefault="00A37361" w:rsidP="007F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C101A" w:rsidRPr="00F74CF4" w:rsidRDefault="00763C1C" w:rsidP="00A37361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7F35D3"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Губіна Станіслава Олександровича</w:t>
      </w:r>
      <w:r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</w:t>
      </w:r>
      <w:bookmarkEnd w:id="0"/>
      <w:r w:rsidR="00A3736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C101A"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абзацу дванадцятого пункту 2 частини четвертої статті 374 Кримінального</w:t>
      </w:r>
      <w:r w:rsidR="007F35D3"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C101A"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процесуального кодексу України</w:t>
      </w:r>
      <w:r w:rsidR="007F35D3"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r w:rsidR="007F35D3" w:rsidRPr="00F74CF4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t>підпункту 7 пункту 3 розділу І Закону України</w:t>
      </w:r>
      <w:r w:rsidR="00A37361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F6163" w:rsidRPr="00F74CF4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t>„Про внесення змін до Кодексу У</w:t>
      </w:r>
      <w:r w:rsidR="007F35D3" w:rsidRPr="00F74CF4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t xml:space="preserve">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</w:t>
      </w:r>
      <w:r w:rsidR="00A37361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A37361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F35D3" w:rsidRPr="00F74CF4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t>суду з прав людини“ від 18 жовтня 2022 року № 2690</w:t>
      </w:r>
      <w:r w:rsidR="004F6163" w:rsidRPr="00F74CF4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="007F35D3" w:rsidRPr="00F74CF4"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  <w:t>ІХ</w:t>
      </w:r>
    </w:p>
    <w:p w:rsidR="007F35D3" w:rsidRDefault="007F35D3" w:rsidP="00A3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37361" w:rsidRPr="00F74CF4" w:rsidRDefault="00A37361" w:rsidP="00A3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F74CF4" w:rsidRDefault="00763C1C" w:rsidP="00A37361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>Справа № 3-</w:t>
      </w:r>
      <w:r w:rsidR="007F35D3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45</w:t>
      </w:r>
      <w:r w:rsidR="009C101A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/2025</w:t>
      </w:r>
      <w:r w:rsidR="007F35D3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(92</w:t>
      </w:r>
      <w:r w:rsidR="009C101A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/25</w:t>
      </w:r>
      <w:r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763C1C" w:rsidRPr="00F74CF4" w:rsidRDefault="007C1D37" w:rsidP="00A37361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4F616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верес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="00763C1C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C101A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F74CF4" w:rsidRDefault="002A2D42" w:rsidP="00A373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7C1D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110</w:t>
      </w:r>
      <w:r w:rsidR="00763C1C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</w:t>
      </w:r>
      <w:r w:rsidR="009C101A" w:rsidRPr="00F74CF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Default="00763C1C" w:rsidP="00A373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7361" w:rsidRPr="00F74CF4" w:rsidRDefault="00A37361" w:rsidP="00A373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F74CF4" w:rsidRDefault="00763C1C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763C1C" w:rsidRPr="00F74CF4" w:rsidRDefault="00763C1C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4CF4" w:rsidRPr="00F74CF4" w:rsidRDefault="00F74CF4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 Петра Тодосьовича – головуючого, доповідача,</w:t>
      </w:r>
    </w:p>
    <w:p w:rsidR="00F74CF4" w:rsidRPr="00F74CF4" w:rsidRDefault="00F74CF4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Кичуна Віктора Івановича,</w:t>
      </w:r>
    </w:p>
    <w:p w:rsidR="00F74CF4" w:rsidRPr="00F74CF4" w:rsidRDefault="00F74CF4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 Алли Сергіївни,</w:t>
      </w:r>
    </w:p>
    <w:p w:rsidR="00763C1C" w:rsidRPr="00F74CF4" w:rsidRDefault="00763C1C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Губіна Станіслава Олександровича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7F35D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абзацу дванадцятого пункту 2 частини четвертої статті 374 Кримінального процесуального кодексу України, </w:t>
      </w:r>
      <w:r w:rsidR="007F35D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підпункту 7 пункту 3 розділу І</w:t>
      </w:r>
      <w:r w:rsidR="00A37361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35D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</w:t>
      </w:r>
      <w:r w:rsidR="00A37361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br/>
      </w:r>
      <w:r w:rsidR="007F35D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від 18 жовтня 2022 року № 2690</w:t>
      </w:r>
      <w:r w:rsidR="004F616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–</w:t>
      </w:r>
      <w:r w:rsidR="007F35D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ІХ</w:t>
      </w:r>
      <w:r w:rsidR="004F616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 xml:space="preserve"> (Відомості Верховної Ради України, 2023 р., № 28, ст. 96)</w:t>
      </w:r>
      <w:r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763C1C" w:rsidRPr="00F74CF4" w:rsidRDefault="00763C1C" w:rsidP="00A373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F74CF4" w:rsidRDefault="00763C1C" w:rsidP="00A3736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F74CF4" w:rsidRDefault="00763C1C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F35D3" w:rsidRPr="00F74CF4" w:rsidRDefault="00763C1C" w:rsidP="00A37361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7F35D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убін С.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звернувся до Конституційного Суду України з клопотанням </w:t>
      </w:r>
      <w:r w:rsidR="004F616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перевірити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відповідність частині другій статті </w:t>
      </w:r>
      <w:r w:rsidR="004F616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35D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частині першій статті 8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F35D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частинам першій, другій статті 29, 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частині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першій статті </w:t>
      </w:r>
      <w:r w:rsidR="007F35D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55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Конституції України </w:t>
      </w:r>
      <w:r w:rsidR="004F616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(конституційність) 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абзац дванадцятий пункту 2 частини четвертої статті 374 Кримінального процесуального кодексу України</w:t>
      </w:r>
      <w:r w:rsidR="00F41A99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(далі – Кодекс)</w:t>
      </w:r>
      <w:r w:rsidR="007F35D3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7F35D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підпункт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людини“ від 18 жовтня 2022 року № 2690</w:t>
      </w:r>
      <w:r w:rsidR="004F616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–</w:t>
      </w:r>
      <w:r w:rsidR="007F35D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ІХ</w:t>
      </w:r>
      <w:r w:rsidR="004F616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35D3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(далі – Закон).</w:t>
      </w:r>
    </w:p>
    <w:p w:rsidR="00E86BA1" w:rsidRPr="00F74CF4" w:rsidRDefault="007F35D3" w:rsidP="00A3736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В</w:t>
      </w:r>
      <w:r w:rsidR="009C101A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ідповідно до </w:t>
      </w:r>
      <w:r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оспорюваного положення Кодексу</w:t>
      </w:r>
      <w:r w:rsidR="00EE4D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резолютивній частині вироку, у разі визнання особи винуватою, зазначається </w:t>
      </w:r>
      <w:r w:rsidR="00EE4D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 щодо заходів забезпечення кримінального провадження, у тому числі рішення про запобіжний захід до набрання вироком законної сили</w:t>
      </w:r>
      <w:r w:rsidR="004F616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763C1C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F35D3" w:rsidRPr="00F74CF4" w:rsidRDefault="007F35D3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Згідно з оспорюваним положенням Закону оспорюване положення Кодексу </w:t>
      </w:r>
      <w:r w:rsidR="003D09C5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було доповнено словами „</w:t>
      </w:r>
      <w:r w:rsidR="003D09C5" w:rsidRPr="00F74C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тому числі рішення про запобіжний захід до набрання вироком законної сили</w:t>
      </w:r>
      <w:r w:rsidR="003D09C5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“.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 клопотання вважає, що 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оспорювані</w:t>
      </w:r>
      <w:r w:rsidR="00E86BA1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4F6163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оложення</w:t>
      </w:r>
      <w:r w:rsidR="00E86BA1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Закону</w:t>
      </w:r>
      <w:r w:rsidR="00E86BA1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не 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відповідають</w:t>
      </w:r>
      <w:r w:rsidR="00E86BA1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Конституції України, оскільки 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 правозастосування „зводиться до того, що суди трактують зазначену норму, як свої повноваження, які дозволять суду застосовувати запобіжний захід на безтерміновій основі, тобто без визначеного часового строку, до певної події“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7361" w:rsidRDefault="00A37361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вбачається, що аргументація автора клопотання щодо невідповідності Конституції України </w:t>
      </w:r>
      <w:r w:rsidR="00E86BA1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абзацу дванадцятого пункту 2 частини четвертої статті 374 </w:t>
      </w:r>
      <w:r w:rsidR="00F41A99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Кодексу</w:t>
      </w:r>
      <w:r w:rsidR="007E1F8F" w:rsidRPr="00F74CF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7E1F8F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підпункту 7 пункту 3 розділу І Закону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із застосуванням в остаточному судовому рішенні в його спра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 оспорюваних положень Кодексу та Закону,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не можна вважати обґрунтуванням тверджень щодо їх неконституційності.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від 31 травня 2018 року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сенату Конституційного Суду України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9 вересня 2020 року № 18-уп(І)/2020, Другого сенату Конституційного Суду України від 7 вере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сня 2022 року № 5-уп(II)/2022].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автор клопотання не дотрима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вимог пункту 6 частини другої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F74CF4" w:rsidRPr="00F74CF4" w:rsidRDefault="00F74CF4" w:rsidP="00A3736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 о с т а н о в и л а:</w:t>
      </w:r>
    </w:p>
    <w:p w:rsidR="00763C1C" w:rsidRPr="00F74CF4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7F35D3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Губіна Станіслава Олександровича</w:t>
      </w:r>
      <w:r w:rsidR="007E1F8F" w:rsidRPr="00F74CF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відповідності Конституції України (конституційності) абзацу дванадцятого пункту 2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C101A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четвертої статті 374 Кримінального процесуального кодексу України</w:t>
      </w:r>
      <w:r w:rsidR="007E1F8F" w:rsidRPr="00F74C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E1F8F" w:rsidRPr="00F74CF4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підпункту 7 пункту 3 розділу І Закону України „Про внесення змін до Кодексу України про адміністративні правопорушення, Кримінального кодексу України та Кримінального процесуального кодексу</w:t>
      </w:r>
      <w:r w:rsidR="007E1F8F" w:rsidRPr="007F35D3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 xml:space="preserve"> України щодо виконання рішень Європейського суду з прав людини“ від 18 жовтня</w:t>
      </w:r>
      <w:r w:rsidR="00A37361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1F8F" w:rsidRPr="007F35D3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2022 року № 2690</w:t>
      </w:r>
      <w:r w:rsidR="004F6163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–</w:t>
      </w:r>
      <w:r w:rsidR="007E1F8F" w:rsidRPr="007F35D3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val="uk-UA"/>
        </w:rPr>
        <w:t>ІХ</w:t>
      </w:r>
      <w:r w:rsidR="00F41A99" w:rsidRPr="007F35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F3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пу</w:t>
      </w:r>
      <w:r w:rsidR="007E1F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нкту 4 статті 62 Закону України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F3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„Про Конституційний Суд</w:t>
      </w:r>
      <w:r w:rsidR="00A373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7F3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України“ – неприйнятність конституційної скарги.</w:t>
      </w:r>
    </w:p>
    <w:p w:rsidR="00763C1C" w:rsidRPr="007F35D3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Default="00763C1C" w:rsidP="00A373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35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A37361" w:rsidRDefault="00A37361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7361" w:rsidRDefault="00A37361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7361" w:rsidRDefault="00A37361" w:rsidP="00A37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7A18" w:rsidRPr="00E67A18" w:rsidRDefault="00E67A18" w:rsidP="00E67A18">
      <w:pPr>
        <w:spacing w:after="0" w:line="240" w:lineRule="auto"/>
        <w:ind w:left="3540"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bookmarkStart w:id="1" w:name="_GoBack"/>
      <w:r w:rsidRPr="00E67A18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E67A18" w:rsidRPr="00E67A18" w:rsidRDefault="00E67A18" w:rsidP="00E67A18">
      <w:pPr>
        <w:spacing w:after="0" w:line="240" w:lineRule="auto"/>
        <w:ind w:left="3540"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E67A18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A37361" w:rsidRPr="00E67A18" w:rsidRDefault="00E67A18" w:rsidP="00E67A18">
      <w:pPr>
        <w:spacing w:after="0" w:line="240" w:lineRule="auto"/>
        <w:ind w:left="3540"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E67A18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  <w:bookmarkEnd w:id="1"/>
    </w:p>
    <w:sectPr w:rsidR="00A37361" w:rsidRPr="00E67A18" w:rsidSect="00A3736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61" w:rsidRPr="00A37361" w:rsidRDefault="00A37361">
    <w:pPr>
      <w:pStyle w:val="a5"/>
      <w:rPr>
        <w:rFonts w:ascii="Times New Roman" w:hAnsi="Times New Roman" w:cs="Times New Roman"/>
        <w:sz w:val="10"/>
        <w:szCs w:val="10"/>
      </w:rPr>
    </w:pPr>
    <w:r w:rsidRPr="00A37361">
      <w:rPr>
        <w:rFonts w:ascii="Times New Roman" w:hAnsi="Times New Roman" w:cs="Times New Roman"/>
        <w:sz w:val="10"/>
        <w:szCs w:val="10"/>
      </w:rPr>
      <w:fldChar w:fldCharType="begin"/>
    </w:r>
    <w:r w:rsidRPr="00A3736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37361">
      <w:rPr>
        <w:rFonts w:ascii="Times New Roman" w:hAnsi="Times New Roman" w:cs="Times New Roman"/>
        <w:sz w:val="10"/>
        <w:szCs w:val="10"/>
      </w:rPr>
      <w:fldChar w:fldCharType="separate"/>
    </w:r>
    <w:r w:rsidR="00E67A18">
      <w:rPr>
        <w:rFonts w:ascii="Times New Roman" w:hAnsi="Times New Roman" w:cs="Times New Roman"/>
        <w:noProof/>
        <w:sz w:val="10"/>
        <w:szCs w:val="10"/>
      </w:rPr>
      <w:t>G:\2025\Suddi\I senat\I koleg\12.docx</w:t>
    </w:r>
    <w:r w:rsidRPr="00A3736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61" w:rsidRPr="00A37361" w:rsidRDefault="00A37361">
    <w:pPr>
      <w:pStyle w:val="a5"/>
      <w:rPr>
        <w:rFonts w:ascii="Times New Roman" w:hAnsi="Times New Roman" w:cs="Times New Roman"/>
        <w:sz w:val="10"/>
        <w:szCs w:val="10"/>
      </w:rPr>
    </w:pPr>
    <w:r w:rsidRPr="00A37361">
      <w:rPr>
        <w:rFonts w:ascii="Times New Roman" w:hAnsi="Times New Roman" w:cs="Times New Roman"/>
        <w:sz w:val="10"/>
        <w:szCs w:val="10"/>
      </w:rPr>
      <w:fldChar w:fldCharType="begin"/>
    </w:r>
    <w:r w:rsidRPr="00A3736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37361">
      <w:rPr>
        <w:rFonts w:ascii="Times New Roman" w:hAnsi="Times New Roman" w:cs="Times New Roman"/>
        <w:sz w:val="10"/>
        <w:szCs w:val="10"/>
      </w:rPr>
      <w:fldChar w:fldCharType="separate"/>
    </w:r>
    <w:r w:rsidR="00E67A18">
      <w:rPr>
        <w:rFonts w:ascii="Times New Roman" w:hAnsi="Times New Roman" w:cs="Times New Roman"/>
        <w:noProof/>
        <w:sz w:val="10"/>
        <w:szCs w:val="10"/>
      </w:rPr>
      <w:t>G:\2025\Suddi\I senat\I koleg\12.docx</w:t>
    </w:r>
    <w:r w:rsidRPr="00A3736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3C1C" w:rsidRPr="00A37361" w:rsidRDefault="00763C1C" w:rsidP="00F41A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3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73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73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7A1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373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1D5338"/>
    <w:rsid w:val="001F749F"/>
    <w:rsid w:val="00214577"/>
    <w:rsid w:val="00216C86"/>
    <w:rsid w:val="002A2D42"/>
    <w:rsid w:val="0032054A"/>
    <w:rsid w:val="003D09C5"/>
    <w:rsid w:val="004F6163"/>
    <w:rsid w:val="00750385"/>
    <w:rsid w:val="00763C1C"/>
    <w:rsid w:val="007C1D37"/>
    <w:rsid w:val="007E1F8F"/>
    <w:rsid w:val="007F35D3"/>
    <w:rsid w:val="009C101A"/>
    <w:rsid w:val="00A37361"/>
    <w:rsid w:val="00D23B4D"/>
    <w:rsid w:val="00E67A18"/>
    <w:rsid w:val="00E86BA1"/>
    <w:rsid w:val="00EE4D99"/>
    <w:rsid w:val="00F26937"/>
    <w:rsid w:val="00F41A99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AFC7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A3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2025-09-04T06:22:00Z</cp:lastPrinted>
  <dcterms:created xsi:type="dcterms:W3CDTF">2025-09-03T09:12:00Z</dcterms:created>
  <dcterms:modified xsi:type="dcterms:W3CDTF">2025-09-04T06:22:00Z</dcterms:modified>
</cp:coreProperties>
</file>